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 w:line="240" w:lineRule="auto"/>
        <w:ind w:left="132" w:firstLine="0" w:firstLineChars="0"/>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九州证券股份有限公司</w:t>
      </w:r>
    </w:p>
    <w:p>
      <w:pPr>
        <w:spacing w:before="8" w:line="240" w:lineRule="auto"/>
        <w:ind w:left="132" w:firstLine="0" w:firstLineChars="0"/>
        <w:jc w:val="center"/>
        <w:rPr>
          <w:rFonts w:hint="eastAsia" w:ascii="仿宋" w:hAnsi="仿宋" w:eastAsia="仿宋" w:cs="仿宋"/>
          <w:b/>
          <w:bCs/>
          <w:sz w:val="36"/>
          <w:szCs w:val="36"/>
        </w:rPr>
      </w:pPr>
      <w:r>
        <w:rPr>
          <w:rFonts w:hint="eastAsia" w:ascii="仿宋" w:hAnsi="仿宋" w:eastAsia="仿宋" w:cs="仿宋"/>
          <w:b/>
          <w:bCs/>
          <w:sz w:val="36"/>
          <w:szCs w:val="36"/>
          <w:lang w:val="en-US" w:eastAsia="zh-CN"/>
        </w:rPr>
        <w:t>深圳</w:t>
      </w:r>
      <w:r>
        <w:rPr>
          <w:rFonts w:hint="eastAsia" w:ascii="仿宋" w:hAnsi="仿宋" w:eastAsia="仿宋" w:cs="仿宋"/>
          <w:b/>
          <w:bCs/>
          <w:sz w:val="36"/>
          <w:szCs w:val="36"/>
        </w:rPr>
        <w:t>证券交易所主板投资风险揭示书</w:t>
      </w:r>
    </w:p>
    <w:p>
      <w:pPr>
        <w:pStyle w:val="2"/>
        <w:rPr>
          <w:rFonts w:hint="eastAsia" w:ascii="仿宋" w:hAnsi="仿宋" w:eastAsia="仿宋" w:cs="仿宋"/>
          <w:b/>
          <w:bCs/>
          <w:sz w:val="36"/>
          <w:szCs w:val="36"/>
        </w:rPr>
      </w:pPr>
    </w:p>
    <w:p>
      <w:pPr>
        <w:pStyle w:val="2"/>
        <w:ind w:firstLine="0" w:firstLineChars="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尊敬的投资者：</w:t>
      </w:r>
    </w:p>
    <w:p>
      <w:pPr>
        <w:pStyle w:val="2"/>
        <w:rPr>
          <w:rFonts w:hint="eastAsia" w:ascii="仿宋" w:hAnsi="仿宋" w:eastAsia="仿宋" w:cs="仿宋"/>
          <w:sz w:val="30"/>
          <w:szCs w:val="30"/>
          <w:lang w:eastAsia="zh-CN"/>
        </w:rPr>
      </w:pPr>
      <w:r>
        <w:rPr>
          <w:rFonts w:hint="eastAsia" w:ascii="仿宋" w:hAnsi="仿宋" w:eastAsia="仿宋" w:cs="仿宋"/>
          <w:sz w:val="30"/>
          <w:szCs w:val="30"/>
          <w:lang w:eastAsia="zh-CN"/>
        </w:rPr>
        <w:t>为</w:t>
      </w:r>
      <w:r>
        <w:rPr>
          <w:rFonts w:hint="eastAsia" w:ascii="仿宋" w:hAnsi="仿宋" w:eastAsia="仿宋" w:cs="仿宋"/>
          <w:sz w:val="30"/>
          <w:szCs w:val="30"/>
          <w:lang w:val="en-US" w:eastAsia="zh-CN"/>
        </w:rPr>
        <w:t>了</w:t>
      </w:r>
      <w:r>
        <w:rPr>
          <w:rFonts w:hint="eastAsia" w:ascii="仿宋" w:hAnsi="仿宋" w:eastAsia="仿宋" w:cs="仿宋"/>
          <w:sz w:val="30"/>
          <w:szCs w:val="30"/>
          <w:lang w:eastAsia="zh-CN"/>
        </w:rPr>
        <w:t>使</w:t>
      </w:r>
      <w:r>
        <w:rPr>
          <w:rFonts w:hint="eastAsia" w:ascii="仿宋" w:hAnsi="仿宋" w:eastAsia="仿宋" w:cs="仿宋"/>
          <w:sz w:val="30"/>
          <w:szCs w:val="30"/>
          <w:lang w:val="en-US" w:eastAsia="zh-CN"/>
        </w:rPr>
        <w:t>您</w:t>
      </w:r>
      <w:r>
        <w:rPr>
          <w:rFonts w:hint="eastAsia" w:ascii="仿宋" w:hAnsi="仿宋" w:eastAsia="仿宋" w:cs="仿宋"/>
          <w:sz w:val="30"/>
          <w:szCs w:val="30"/>
          <w:lang w:eastAsia="zh-CN"/>
        </w:rPr>
        <w:t>充分了解</w:t>
      </w:r>
      <w:r>
        <w:rPr>
          <w:rFonts w:hint="eastAsia" w:ascii="仿宋" w:hAnsi="仿宋" w:eastAsia="仿宋" w:cs="仿宋"/>
          <w:sz w:val="30"/>
          <w:szCs w:val="30"/>
          <w:lang w:val="en-US" w:eastAsia="zh-CN"/>
        </w:rPr>
        <w:t>深圳</w:t>
      </w:r>
      <w:r>
        <w:rPr>
          <w:rFonts w:hint="eastAsia" w:ascii="仿宋" w:hAnsi="仿宋" w:eastAsia="仿宋" w:cs="仿宋"/>
          <w:sz w:val="30"/>
          <w:szCs w:val="30"/>
          <w:lang w:eastAsia="zh-CN"/>
        </w:rPr>
        <w:t>证券交易所（以下简称“</w:t>
      </w:r>
      <w:r>
        <w:rPr>
          <w:rFonts w:hint="eastAsia" w:ascii="仿宋" w:hAnsi="仿宋" w:eastAsia="仿宋" w:cs="仿宋"/>
          <w:sz w:val="30"/>
          <w:szCs w:val="30"/>
          <w:lang w:val="en-US" w:eastAsia="zh-CN"/>
        </w:rPr>
        <w:t>深</w:t>
      </w:r>
      <w:r>
        <w:rPr>
          <w:rFonts w:hint="eastAsia" w:ascii="仿宋" w:hAnsi="仿宋" w:eastAsia="仿宋" w:cs="仿宋"/>
          <w:sz w:val="30"/>
          <w:szCs w:val="30"/>
          <w:lang w:eastAsia="zh-CN"/>
        </w:rPr>
        <w:t>交所”）</w:t>
      </w:r>
      <w:r>
        <w:rPr>
          <w:rFonts w:hint="eastAsia" w:ascii="仿宋" w:hAnsi="仿宋" w:eastAsia="仿宋" w:cs="仿宋"/>
          <w:sz w:val="30"/>
          <w:szCs w:val="30"/>
          <w:lang w:val="en-US" w:eastAsia="zh-CN"/>
        </w:rPr>
        <w:t>主板的相关风险，</w:t>
      </w:r>
      <w:r>
        <w:rPr>
          <w:rFonts w:hint="eastAsia" w:ascii="仿宋" w:hAnsi="仿宋" w:eastAsia="仿宋" w:cs="仿宋"/>
          <w:sz w:val="30"/>
          <w:szCs w:val="30"/>
          <w:lang w:eastAsia="zh-CN"/>
        </w:rPr>
        <w:t>根据《</w:t>
      </w:r>
      <w:r>
        <w:rPr>
          <w:rFonts w:hint="eastAsia" w:ascii="仿宋" w:hAnsi="仿宋" w:eastAsia="仿宋" w:cs="仿宋"/>
          <w:sz w:val="30"/>
          <w:szCs w:val="30"/>
          <w:lang w:val="en-US" w:eastAsia="zh-CN"/>
        </w:rPr>
        <w:t>深圳</w:t>
      </w:r>
      <w:r>
        <w:rPr>
          <w:rFonts w:hint="eastAsia" w:ascii="仿宋" w:hAnsi="仿宋" w:eastAsia="仿宋" w:cs="仿宋"/>
          <w:sz w:val="30"/>
          <w:szCs w:val="30"/>
          <w:lang w:eastAsia="zh-CN"/>
        </w:rPr>
        <w:t>证券交易所交易规则》及《</w:t>
      </w:r>
      <w:r>
        <w:rPr>
          <w:rFonts w:hint="eastAsia" w:ascii="仿宋" w:hAnsi="仿宋" w:eastAsia="仿宋" w:cs="仿宋"/>
          <w:sz w:val="30"/>
          <w:szCs w:val="30"/>
          <w:lang w:val="en-US" w:eastAsia="zh-CN"/>
        </w:rPr>
        <w:t>深圳证券交易所主板投资风险揭示书必备条款</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我司</w:t>
      </w:r>
      <w:r>
        <w:rPr>
          <w:rFonts w:hint="eastAsia" w:ascii="仿宋" w:hAnsi="仿宋" w:eastAsia="仿宋" w:cs="仿宋"/>
          <w:sz w:val="30"/>
          <w:szCs w:val="30"/>
          <w:lang w:eastAsia="zh-CN"/>
        </w:rPr>
        <w:t>特向您提供《</w:t>
      </w:r>
      <w:r>
        <w:rPr>
          <w:rFonts w:hint="eastAsia" w:ascii="仿宋" w:hAnsi="仿宋" w:eastAsia="仿宋" w:cs="仿宋"/>
          <w:sz w:val="30"/>
          <w:szCs w:val="30"/>
          <w:lang w:val="en-US" w:eastAsia="zh-CN"/>
        </w:rPr>
        <w:t>九州证券股份有限公司深圳</w:t>
      </w:r>
      <w:r>
        <w:rPr>
          <w:rFonts w:hint="eastAsia" w:ascii="仿宋" w:hAnsi="仿宋" w:eastAsia="仿宋" w:cs="仿宋"/>
          <w:sz w:val="30"/>
          <w:szCs w:val="30"/>
          <w:lang w:eastAsia="zh-CN"/>
        </w:rPr>
        <w:t>证券交易所</w:t>
      </w:r>
      <w:r>
        <w:rPr>
          <w:rFonts w:hint="eastAsia" w:ascii="仿宋" w:hAnsi="仿宋" w:eastAsia="仿宋" w:cs="仿宋"/>
          <w:sz w:val="30"/>
          <w:szCs w:val="30"/>
          <w:lang w:val="en-US" w:eastAsia="zh-CN"/>
        </w:rPr>
        <w:t>主板投资</w:t>
      </w:r>
      <w:r>
        <w:rPr>
          <w:rFonts w:hint="eastAsia" w:ascii="仿宋" w:hAnsi="仿宋" w:eastAsia="仿宋" w:cs="仿宋"/>
          <w:sz w:val="30"/>
          <w:szCs w:val="30"/>
          <w:lang w:eastAsia="zh-CN"/>
        </w:rPr>
        <w:t>风险揭示书》（以下简称《风险揭示书》），</w:t>
      </w:r>
      <w:r>
        <w:rPr>
          <w:rFonts w:hint="eastAsia" w:ascii="仿宋" w:hAnsi="仿宋" w:eastAsia="仿宋" w:cs="仿宋"/>
          <w:sz w:val="30"/>
          <w:szCs w:val="30"/>
          <w:lang w:val="en-US" w:eastAsia="zh-CN"/>
        </w:rPr>
        <w:t>向您充分揭示参与主板股票、存托凭证（以下统称“股票”）申购、交易的相关风险。</w:t>
      </w:r>
      <w:r>
        <w:rPr>
          <w:rFonts w:hint="eastAsia" w:ascii="仿宋" w:hAnsi="仿宋" w:eastAsia="仿宋" w:cs="仿宋"/>
          <w:sz w:val="30"/>
          <w:szCs w:val="30"/>
          <w:lang w:eastAsia="zh-CN"/>
        </w:rPr>
        <w:t>请您务必在申请开通业务前仔细阅读以下风险提示：</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一、全面实行股票发行注册制后，主板股票发行、上市、交 易、持续监管等相关制度安排发生一定变化，您应当充分知悉并关注相关规则。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二、主板上市公司可能存在有累计未弥补亏损、最近3个会计年度未能连续盈利等情形；已在境外上市的红筹企业、未在境外上市的红筹企业、存在表决权差异安排的企业具有差异化上市标准，您应当关注。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三、首次公开发行主板股票可能采用直接定价或者询价定价方式。采用询价定价方式的，询价对象除证券公司等八类专业机构投资者外，还包括符合一定条件的其他法人和组织、个人投资者。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四、首次公开发行主板股票采用询价方式的，初步询价结束后，发行人预计发行后总市值不满足其在招股说明书中明确选择的市值与财务指标上市标准的，将按规定中止发行。</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五、首次公开发行主板股票采用询价方式的，可能存在发行价格超过剔除最高报价部分后所有网下投资者剩余报价的中位数和加权平均数，以及公募基金等六类产品剩余报价的中位数和加权平均数的孰低值的情况；可能存在发行价格超过境外市场价格或者发行价格对应市盈率超过同行业上市公司二级市场平均市盈率等情形，您参与申购前应当关注投资风险特别公告等与定价合理性相关的信息，注意投资风险。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六、根据首次公开发行主板股票发行后总股本差异等情形， </w:t>
      </w:r>
    </w:p>
    <w:p>
      <w:pPr>
        <w:keepNext w:val="0"/>
        <w:keepLines w:val="0"/>
        <w:widowControl/>
        <w:suppressLineNumbers w:val="0"/>
        <w:ind w:left="0" w:leftChars="0" w:firstLine="0" w:firstLineChars="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网上初始发行比例可能有所差别；根据网上投资者有效申购倍数差异，可能存在不同的网下向网上回拨比例，您应当关注。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七、首次公开发行主板股票时，发行人和主承销商可以采用超额配售选择权，即存在发行人增发主板股票的可能性。您应当关注发行公告中披露全额行使超额配售选择权拟发行证券的具体数量。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八、主板股票可能主动终止上市，也可能因触及退市情形被强制终止上市。主动终止上市以及因触及交易类强制退市情形被终止上市的，不进入退市整理期，直接予以摘牌；因触及财务类、规范类或者重大违法类强制退市情形被终止上市的，进入退市整理期交易15个交易日后予以摘牌。您应当及时了解相关信息和规定，密切关注退市风险。 </w:t>
      </w:r>
    </w:p>
    <w:p>
      <w:pPr>
        <w:keepNext w:val="0"/>
        <w:keepLines w:val="0"/>
        <w:widowControl/>
        <w:suppressLineNumbers w:val="0"/>
        <w:jc w:val="both"/>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九、主板上市公司可能设置表决权差异安排。上市公司可能根据此项安排，存在控制权相对集中，以及因每一特别表决权股份拥有的表决权数量大于每一普通股份拥有的表决权数量等情形，而使普通投资者的表决权利及对公司日常经营等事务的影响力受到限制。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出现《深圳证券交易所股票上市规则》以及上市公司章程规定的情形时，特别表决权股份将按1:1的比例转换为普通股份。股份转换自相关情形发生时即生效，可能与相关股份转换登记时点存在差异。您应当及时关注上市公司相关公告，以了解特别表决权股份变动事宜。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一、主板普通股票及退市整理股票价格涨跌幅限制比例为10%，风险警示股票为5%，但主板股票在首次公开发行上市后的前五个交易日、重新上市首日、进入退市整理期的首日以及深交所认定的其他情形下不实行价格涨跌幅限制，您应当关注可能发生的股价波动风险。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二、主板无价格涨跌幅限制股票竞价交易盘中交易价格较当日开盘价格首次上涨或者下跌达到或者超过30%、60%，以及出现证监会或者深交所认定的其他情形的，实施盘中临时停牌，单次临时停牌时间为10分钟，停牌时间跨越14:57的，于当日14:57复牌并对已接受的申报进行复牌集合竞价，再进行收盘集合竞价。 </w:t>
      </w:r>
    </w:p>
    <w:p>
      <w:pPr>
        <w:keepNext w:val="0"/>
        <w:keepLines w:val="0"/>
        <w:widowControl/>
        <w:suppressLineNumbers w:val="0"/>
        <w:jc w:val="both"/>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 xml:space="preserve">十三、您应当关注股票集合竞价阶段及连续竞价阶段有效申报价格范围的相关要求，以免影响申报。申报时超过涨跌幅限制价格或者有效申报价格范围的申报为无效申报。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十四、按照《首次公开发行股票注册管理办法》发行的主板股票，上市首日即可作为融资融券标的，您应当注意相关风险。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十五、您应当关注主板股票交易可能触发的异常波动和严重异常波动情形，知悉严重异常波动情形可能导致停牌核查，审慎参与相关股票交易。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六、符合相关规定的红筹企业可以在主板上市。红筹企业在境外注册，可能采用协议控制架构，在上市标准、信息披露、分红派息、退市标准等方面可能与境内上市公司存在差异。红筹企业的股权结构、公司治理、运行规范等事项适用境外注册地公司法等法律法规的，其投资者权益保护水平总体上应不低于境内法律法规等要求，但可能与境内法律法规等要求为境内投资者权益提供的保护存在差异。 </w:t>
      </w:r>
    </w:p>
    <w:p>
      <w:pPr>
        <w:keepNext w:val="0"/>
        <w:keepLines w:val="0"/>
        <w:widowControl/>
        <w:suppressLineNumbers w:val="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十七、红筹企业可以发行股票或者存托凭证并在主板上市。 </w:t>
      </w:r>
    </w:p>
    <w:p>
      <w:pPr>
        <w:keepNext w:val="0"/>
        <w:keepLines w:val="0"/>
        <w:widowControl/>
        <w:suppressLineNumbers w:val="0"/>
        <w:ind w:left="0" w:leftChars="0" w:firstLine="0" w:firstLineChars="0"/>
        <w:jc w:val="both"/>
        <w:rPr>
          <w:rFonts w:hint="eastAsia" w:ascii="仿宋" w:hAnsi="仿宋" w:eastAsia="仿宋" w:cs="仿宋"/>
          <w:sz w:val="30"/>
          <w:szCs w:val="30"/>
        </w:rPr>
      </w:pPr>
      <w:r>
        <w:rPr>
          <w:rFonts w:hint="eastAsia" w:ascii="仿宋" w:hAnsi="仿宋" w:eastAsia="仿宋" w:cs="仿宋"/>
          <w:color w:val="000000"/>
          <w:kern w:val="0"/>
          <w:sz w:val="30"/>
          <w:szCs w:val="30"/>
          <w:lang w:val="en-US" w:eastAsia="zh-CN" w:bidi="ar"/>
        </w:rPr>
        <w:t xml:space="preserve">存托凭证由存托人签发、以境外证券为基础在中国境内发行,代表境外基础证券权益。红筹企业存托凭证持有人实际享有的权益与境外基础证券持有人的权益虽然基本相当,但并不能等同于直接持有境外基础证券。您应当充分知悉存托协议和相关规则内容，关注交易和持有过程中可能存在的风险。 </w:t>
      </w:r>
    </w:p>
    <w:p>
      <w:pPr>
        <w:keepNext w:val="0"/>
        <w:keepLines w:val="0"/>
        <w:widowControl/>
        <w:numPr>
          <w:ilvl w:val="-1"/>
          <w:numId w:val="0"/>
        </w:numPr>
        <w:suppressLineNumbers w:val="0"/>
        <w:ind w:firstLine="600" w:firstLineChars="200"/>
        <w:jc w:val="both"/>
        <w:rPr>
          <w:rFonts w:hint="eastAsia" w:ascii="仿宋" w:hAnsi="仿宋" w:eastAsia="仿宋" w:cs="仿宋"/>
          <w:color w:val="000000"/>
          <w:kern w:val="0"/>
          <w:sz w:val="30"/>
          <w:szCs w:val="30"/>
          <w:lang w:val="en-US" w:eastAsia="zh-CN" w:bidi="ar"/>
        </w:rPr>
      </w:pPr>
      <w:bookmarkStart w:id="0" w:name="_GoBack"/>
      <w:bookmarkEnd w:id="0"/>
      <w:r>
        <w:rPr>
          <w:rFonts w:hint="eastAsia" w:ascii="仿宋" w:hAnsi="仿宋" w:eastAsia="仿宋" w:cs="仿宋"/>
          <w:color w:val="000000"/>
          <w:kern w:val="0"/>
          <w:sz w:val="30"/>
          <w:szCs w:val="30"/>
          <w:lang w:val="en-US" w:eastAsia="zh-CN" w:bidi="ar"/>
        </w:rPr>
        <w:t xml:space="preserve">十八、主板相关法律、行政法规、部门规章、规范性文件（以下统称“法律法规”）和交易所业务规则，可能根据市场情况进行修改，或者制定新的法律法规和业务规则，您应当及时予以关注和了解。 </w:t>
      </w:r>
    </w:p>
    <w:p>
      <w:pPr>
        <w:pStyle w:val="5"/>
        <w:spacing w:before="173" w:line="367" w:lineRule="auto"/>
        <w:ind w:left="0" w:leftChars="0" w:right="-39" w:rightChars="-13" w:firstLine="562" w:firstLineChars="200"/>
        <w:jc w:val="both"/>
        <w:rPr>
          <w:rFonts w:hint="eastAsia" w:ascii="仿宋" w:hAnsi="仿宋" w:eastAsia="仿宋" w:cs="仿宋"/>
          <w:b/>
          <w:bCs/>
          <w:sz w:val="30"/>
          <w:szCs w:val="30"/>
          <w:lang w:eastAsia="zh-CN"/>
        </w:rPr>
      </w:pPr>
      <w:r>
        <w:rPr>
          <w:rFonts w:hint="eastAsia" w:ascii="仿宋" w:hAnsi="仿宋" w:eastAsia="仿宋" w:cs="仿宋"/>
          <w:b/>
          <w:bCs/>
          <w:spacing w:val="-10"/>
          <w:sz w:val="30"/>
          <w:szCs w:val="30"/>
          <w:lang w:eastAsia="zh-CN"/>
        </w:rPr>
        <w:t>本《风险揭示书》的揭示事项仅为列举性质，未能详尽列明</w:t>
      </w:r>
      <w:r>
        <w:rPr>
          <w:rFonts w:hint="eastAsia" w:ascii="仿宋" w:hAnsi="仿宋" w:eastAsia="仿宋" w:cs="仿宋"/>
          <w:b/>
          <w:bCs/>
          <w:spacing w:val="-10"/>
          <w:sz w:val="30"/>
          <w:szCs w:val="30"/>
          <w:lang w:val="en-US" w:eastAsia="zh-CN"/>
        </w:rPr>
        <w:t>主板</w:t>
      </w:r>
      <w:r>
        <w:rPr>
          <w:rFonts w:hint="eastAsia" w:ascii="仿宋" w:hAnsi="仿宋" w:eastAsia="仿宋" w:cs="仿宋"/>
          <w:b/>
          <w:bCs/>
          <w:spacing w:val="-15"/>
          <w:sz w:val="30"/>
          <w:szCs w:val="30"/>
          <w:lang w:eastAsia="zh-CN"/>
        </w:rPr>
        <w:t>股票交易的所有风险，</w:t>
      </w:r>
      <w:r>
        <w:rPr>
          <w:rFonts w:hint="eastAsia" w:ascii="仿宋" w:hAnsi="仿宋" w:eastAsia="仿宋" w:cs="仿宋"/>
          <w:b/>
          <w:bCs/>
          <w:spacing w:val="-15"/>
          <w:sz w:val="30"/>
          <w:szCs w:val="30"/>
          <w:lang w:val="en-US" w:eastAsia="zh-CN"/>
        </w:rPr>
        <w:t>且未来有关法律法规和业务规则修订时可能不会要求投资者重新签署《风险揭示书》，您</w:t>
      </w:r>
      <w:r>
        <w:rPr>
          <w:rFonts w:hint="eastAsia" w:ascii="仿宋" w:hAnsi="仿宋" w:eastAsia="仿宋" w:cs="仿宋"/>
          <w:b/>
          <w:bCs/>
          <w:spacing w:val="-15"/>
          <w:sz w:val="30"/>
          <w:szCs w:val="30"/>
          <w:lang w:eastAsia="zh-CN"/>
        </w:rPr>
        <w:t>在参与交易前，应当认真阅</w:t>
      </w:r>
      <w:r>
        <w:rPr>
          <w:rFonts w:hint="eastAsia" w:ascii="仿宋" w:hAnsi="仿宋" w:eastAsia="仿宋" w:cs="仿宋"/>
          <w:b/>
          <w:bCs/>
          <w:spacing w:val="-19"/>
          <w:sz w:val="30"/>
          <w:szCs w:val="30"/>
          <w:lang w:eastAsia="zh-CN"/>
        </w:rPr>
        <w:t>读有关法律法规和交易所业务规则等相关规定，对其他可能存在</w:t>
      </w:r>
      <w:r>
        <w:rPr>
          <w:rFonts w:hint="eastAsia" w:ascii="仿宋" w:hAnsi="仿宋" w:eastAsia="仿宋" w:cs="仿宋"/>
          <w:b/>
          <w:bCs/>
          <w:spacing w:val="-20"/>
          <w:sz w:val="30"/>
          <w:szCs w:val="30"/>
          <w:lang w:eastAsia="zh-CN"/>
        </w:rPr>
        <w:t>的风险因素也应当有所了解和掌握，并确信</w:t>
      </w:r>
      <w:r>
        <w:rPr>
          <w:rFonts w:hint="eastAsia" w:ascii="仿宋" w:hAnsi="仿宋" w:eastAsia="仿宋" w:cs="仿宋"/>
          <w:b/>
          <w:bCs/>
          <w:spacing w:val="-20"/>
          <w:sz w:val="30"/>
          <w:szCs w:val="30"/>
          <w:lang w:val="en-US" w:eastAsia="zh-CN"/>
        </w:rPr>
        <w:t>您</w:t>
      </w:r>
      <w:r>
        <w:rPr>
          <w:rFonts w:hint="eastAsia" w:ascii="仿宋" w:hAnsi="仿宋" w:eastAsia="仿宋" w:cs="仿宋"/>
          <w:b/>
          <w:bCs/>
          <w:spacing w:val="-20"/>
          <w:sz w:val="30"/>
          <w:szCs w:val="30"/>
          <w:lang w:eastAsia="zh-CN"/>
        </w:rPr>
        <w:t>已做好足够的风</w:t>
      </w:r>
      <w:r>
        <w:rPr>
          <w:rFonts w:hint="eastAsia" w:ascii="仿宋" w:hAnsi="仿宋" w:eastAsia="仿宋" w:cs="仿宋"/>
          <w:b/>
          <w:bCs/>
          <w:spacing w:val="-17"/>
          <w:sz w:val="30"/>
          <w:szCs w:val="30"/>
          <w:lang w:eastAsia="zh-CN"/>
        </w:rPr>
        <w:t>险评估与财务安排，避免因参与</w:t>
      </w:r>
      <w:r>
        <w:rPr>
          <w:rFonts w:hint="eastAsia" w:ascii="仿宋" w:hAnsi="仿宋" w:eastAsia="仿宋" w:cs="仿宋"/>
          <w:b/>
          <w:bCs/>
          <w:spacing w:val="-17"/>
          <w:sz w:val="30"/>
          <w:szCs w:val="30"/>
          <w:lang w:val="en-US" w:eastAsia="zh-CN"/>
        </w:rPr>
        <w:t>主板</w:t>
      </w:r>
      <w:r>
        <w:rPr>
          <w:rFonts w:hint="eastAsia" w:ascii="仿宋" w:hAnsi="仿宋" w:eastAsia="仿宋" w:cs="仿宋"/>
          <w:b/>
          <w:bCs/>
          <w:spacing w:val="-17"/>
          <w:sz w:val="30"/>
          <w:szCs w:val="30"/>
          <w:lang w:eastAsia="zh-CN"/>
        </w:rPr>
        <w:t>股票交易遭受难以承受的损失。</w:t>
      </w:r>
    </w:p>
    <w:p>
      <w:pPr>
        <w:pStyle w:val="5"/>
        <w:spacing w:before="48" w:line="367" w:lineRule="auto"/>
        <w:ind w:left="0" w:right="-39" w:rightChars="-13" w:firstLine="603" w:firstLineChars="213"/>
        <w:jc w:val="both"/>
        <w:rPr>
          <w:rFonts w:hint="eastAsia" w:ascii="仿宋" w:hAnsi="仿宋" w:eastAsia="仿宋" w:cs="仿宋"/>
          <w:b/>
          <w:bCs/>
          <w:sz w:val="30"/>
          <w:szCs w:val="30"/>
          <w:lang w:eastAsia="zh-CN"/>
        </w:rPr>
      </w:pPr>
      <w:r>
        <w:rPr>
          <w:rFonts w:hint="eastAsia" w:ascii="仿宋" w:hAnsi="仿宋" w:eastAsia="仿宋" w:cs="仿宋"/>
          <w:b/>
          <w:bCs/>
          <w:spacing w:val="-9"/>
          <w:sz w:val="30"/>
          <w:szCs w:val="30"/>
          <w:lang w:val="en-US" w:eastAsia="zh-CN"/>
        </w:rPr>
        <w:t>您</w:t>
      </w:r>
      <w:r>
        <w:rPr>
          <w:rFonts w:hint="eastAsia" w:ascii="仿宋" w:hAnsi="仿宋" w:eastAsia="仿宋" w:cs="仿宋"/>
          <w:b/>
          <w:bCs/>
          <w:spacing w:val="-9"/>
          <w:sz w:val="30"/>
          <w:szCs w:val="30"/>
          <w:lang w:eastAsia="zh-CN"/>
        </w:rPr>
        <w:t>在本《风险揭示书》上签字，即表明</w:t>
      </w:r>
      <w:r>
        <w:rPr>
          <w:rFonts w:hint="eastAsia" w:ascii="仿宋" w:hAnsi="仿宋" w:eastAsia="仿宋" w:cs="仿宋"/>
          <w:b/>
          <w:bCs/>
          <w:spacing w:val="-9"/>
          <w:sz w:val="30"/>
          <w:szCs w:val="30"/>
          <w:lang w:val="en-US" w:eastAsia="zh-CN"/>
        </w:rPr>
        <w:t>您</w:t>
      </w:r>
      <w:r>
        <w:rPr>
          <w:rFonts w:hint="eastAsia" w:ascii="仿宋" w:hAnsi="仿宋" w:eastAsia="仿宋" w:cs="仿宋"/>
          <w:b/>
          <w:bCs/>
          <w:spacing w:val="-9"/>
          <w:sz w:val="30"/>
          <w:szCs w:val="30"/>
          <w:lang w:eastAsia="zh-CN"/>
        </w:rPr>
        <w:t>已经理解并愿意自行承担参与</w:t>
      </w:r>
      <w:r>
        <w:rPr>
          <w:rFonts w:hint="eastAsia" w:ascii="仿宋" w:hAnsi="仿宋" w:eastAsia="仿宋" w:cs="仿宋"/>
          <w:b/>
          <w:bCs/>
          <w:spacing w:val="-9"/>
          <w:sz w:val="30"/>
          <w:szCs w:val="30"/>
          <w:lang w:val="en-US" w:eastAsia="zh-CN"/>
        </w:rPr>
        <w:t>主板</w:t>
      </w:r>
      <w:r>
        <w:rPr>
          <w:rFonts w:hint="eastAsia" w:ascii="仿宋" w:hAnsi="仿宋" w:eastAsia="仿宋" w:cs="仿宋"/>
          <w:b/>
          <w:bCs/>
          <w:spacing w:val="-9"/>
          <w:sz w:val="30"/>
          <w:szCs w:val="30"/>
          <w:lang w:eastAsia="zh-CN"/>
        </w:rPr>
        <w:t>股票交易的风险和损失。</w:t>
      </w:r>
      <w:r>
        <w:rPr>
          <w:rFonts w:hint="eastAsia" w:ascii="仿宋" w:hAnsi="仿宋" w:eastAsia="仿宋" w:cs="仿宋"/>
          <w:b/>
          <w:bCs/>
          <w:sz w:val="30"/>
          <w:szCs w:val="30"/>
          <w:lang w:eastAsia="zh-CN"/>
        </w:rPr>
        <w:t>请您务必审慎考虑，在自身风险承受能力范围内谨慎参与股票交易。</w:t>
      </w:r>
    </w:p>
    <w:p>
      <w:pPr>
        <w:pStyle w:val="5"/>
        <w:spacing w:before="48" w:line="367" w:lineRule="auto"/>
        <w:ind w:left="0" w:right="-39" w:rightChars="-13" w:firstLine="641" w:firstLineChars="213"/>
        <w:jc w:val="left"/>
        <w:rPr>
          <w:rFonts w:hint="eastAsia" w:ascii="仿宋" w:hAnsi="仿宋" w:eastAsia="仿宋" w:cs="仿宋"/>
          <w:b/>
          <w:bCs/>
          <w:sz w:val="30"/>
          <w:szCs w:val="30"/>
          <w:lang w:eastAsia="zh-CN"/>
        </w:rPr>
      </w:pPr>
    </w:p>
    <w:p>
      <w:pPr>
        <w:pStyle w:val="5"/>
        <w:spacing w:before="48" w:line="367" w:lineRule="auto"/>
        <w:ind w:left="0" w:right="-39" w:rightChars="-13" w:firstLine="641" w:firstLineChars="213"/>
        <w:jc w:val="left"/>
        <w:rPr>
          <w:rFonts w:hint="eastAsia" w:ascii="仿宋" w:hAnsi="仿宋" w:eastAsia="仿宋" w:cs="仿宋"/>
          <w:b/>
          <w:bCs/>
          <w:sz w:val="30"/>
          <w:szCs w:val="30"/>
          <w:lang w:eastAsia="zh-CN"/>
        </w:rPr>
      </w:pPr>
    </w:p>
    <w:p>
      <w:pPr>
        <w:pStyle w:val="5"/>
        <w:spacing w:before="48" w:line="367" w:lineRule="auto"/>
        <w:ind w:left="0" w:right="-39" w:rightChars="-13" w:firstLine="0"/>
        <w:rPr>
          <w:rFonts w:hint="eastAsia" w:ascii="仿宋" w:hAnsi="仿宋" w:eastAsia="仿宋" w:cs="仿宋"/>
          <w:sz w:val="30"/>
          <w:szCs w:val="30"/>
          <w:lang w:eastAsia="zh-CN"/>
        </w:rPr>
      </w:pPr>
    </w:p>
    <w:p>
      <w:pPr>
        <w:spacing w:line="600" w:lineRule="exact"/>
        <w:ind w:right="-39" w:rightChars="-13" w:firstLine="4500" w:firstLineChars="1500"/>
        <w:jc w:val="left"/>
        <w:rPr>
          <w:rFonts w:hint="eastAsia" w:ascii="仿宋" w:hAnsi="仿宋" w:eastAsia="仿宋" w:cs="仿宋"/>
          <w:kern w:val="0"/>
          <w:sz w:val="30"/>
          <w:szCs w:val="30"/>
        </w:rPr>
      </w:pPr>
      <w:r>
        <w:rPr>
          <w:rFonts w:hint="eastAsia" w:ascii="仿宋" w:hAnsi="仿宋" w:eastAsia="仿宋" w:cs="仿宋"/>
          <w:kern w:val="0"/>
          <w:sz w:val="30"/>
          <w:szCs w:val="30"/>
        </w:rPr>
        <w:t xml:space="preserve">投资者：                </w:t>
      </w:r>
    </w:p>
    <w:p>
      <w:pPr>
        <w:spacing w:line="600" w:lineRule="exact"/>
        <w:ind w:right="-39" w:rightChars="-13" w:firstLine="639" w:firstLineChars="213"/>
        <w:jc w:val="right"/>
        <w:rPr>
          <w:rFonts w:hint="eastAsia" w:ascii="仿宋" w:hAnsi="仿宋" w:eastAsia="仿宋" w:cs="仿宋"/>
          <w:kern w:val="0"/>
          <w:sz w:val="30"/>
          <w:szCs w:val="30"/>
        </w:rPr>
      </w:pPr>
    </w:p>
    <w:p>
      <w:pPr>
        <w:pStyle w:val="2"/>
        <w:numPr>
          <w:ilvl w:val="0"/>
          <w:numId w:val="0"/>
        </w:numPr>
        <w:ind w:firstLine="4500" w:firstLineChars="1500"/>
        <w:rPr>
          <w:rFonts w:hint="eastAsia" w:ascii="仿宋" w:hAnsi="仿宋" w:eastAsia="仿宋" w:cs="仿宋"/>
          <w:sz w:val="30"/>
          <w:szCs w:val="30"/>
          <w:lang w:val="en-US" w:eastAsia="zh-CN"/>
        </w:rPr>
      </w:pPr>
      <w:r>
        <w:rPr>
          <w:rFonts w:hint="eastAsia" w:ascii="仿宋" w:hAnsi="仿宋" w:eastAsia="仿宋" w:cs="仿宋"/>
          <w:kern w:val="0"/>
          <w:sz w:val="30"/>
          <w:szCs w:val="30"/>
        </w:rPr>
        <w:t>签署日期：    年   月   日</w:t>
      </w:r>
    </w:p>
    <w:p>
      <w:pPr>
        <w:keepNext w:val="0"/>
        <w:keepLines w:val="0"/>
        <w:widowControl/>
        <w:suppressLineNumbers w:val="0"/>
        <w:jc w:val="left"/>
        <w:rPr>
          <w:rFonts w:hint="eastAsia" w:ascii="仿宋" w:hAnsi="仿宋" w:eastAsia="仿宋" w:cs="仿宋"/>
          <w:sz w:val="30"/>
          <w:szCs w:val="30"/>
        </w:rPr>
      </w:pPr>
    </w:p>
    <w:p>
      <w:pPr>
        <w:pStyle w:val="2"/>
        <w:rPr>
          <w:rFonts w:hint="eastAsia" w:ascii="仿宋" w:hAnsi="仿宋" w:eastAsia="仿宋" w:cs="仿宋"/>
          <w:sz w:val="30"/>
          <w:szCs w:val="30"/>
        </w:rPr>
      </w:pPr>
    </w:p>
    <w:p>
      <w:pPr>
        <w:keepNext w:val="0"/>
        <w:keepLines w:val="0"/>
        <w:widowControl/>
        <w:suppressLineNumbers w:val="0"/>
        <w:jc w:val="left"/>
        <w:rPr>
          <w:rFonts w:hint="eastAsia" w:ascii="仿宋" w:hAnsi="仿宋" w:eastAsia="仿宋" w:cs="仿宋"/>
          <w:sz w:val="30"/>
          <w:szCs w:val="30"/>
        </w:rPr>
      </w:pPr>
    </w:p>
    <w:p>
      <w:pPr>
        <w:pStyle w:val="2"/>
        <w:rPr>
          <w:rFonts w:hint="eastAsia" w:ascii="仿宋" w:hAnsi="仿宋" w:eastAsia="仿宋" w:cs="仿宋"/>
          <w:sz w:val="30"/>
          <w:szCs w:val="30"/>
        </w:rPr>
      </w:pPr>
    </w:p>
    <w:p>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3NzkyMDY5YzRkOTUwZGRkMzM4NjA4MTFjMWEyMGUifQ=="/>
  </w:docVars>
  <w:rsids>
    <w:rsidRoot w:val="00000000"/>
    <w:rsid w:val="071C4CD1"/>
    <w:rsid w:val="12427B0E"/>
    <w:rsid w:val="18E34EA0"/>
    <w:rsid w:val="197D16E0"/>
    <w:rsid w:val="19BE3D0E"/>
    <w:rsid w:val="2F3565C7"/>
    <w:rsid w:val="37733DAF"/>
    <w:rsid w:val="3D672E8C"/>
    <w:rsid w:val="5D777C27"/>
    <w:rsid w:val="64CC1E1E"/>
    <w:rsid w:val="663A2093"/>
    <w:rsid w:val="786A2E20"/>
    <w:rsid w:val="7CA54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00" w:firstLineChars="200"/>
      <w:jc w:val="both"/>
    </w:pPr>
    <w:rPr>
      <w:rFonts w:ascii="仿宋_GB2312" w:hAnsi="Times New Roman" w:eastAsia="仿宋_GB2312" w:cs="Times New Roman"/>
      <w:sz w:val="30"/>
      <w:szCs w:val="30"/>
      <w:lang w:val="en-US" w:eastAsia="zh-CN" w:bidi="ar-SA"/>
    </w:rPr>
  </w:style>
  <w:style w:type="paragraph" w:styleId="3">
    <w:name w:val="heading 1"/>
    <w:basedOn w:val="1"/>
    <w:next w:val="1"/>
    <w:qFormat/>
    <w:uiPriority w:val="9"/>
    <w:pPr>
      <w:spacing w:line="360" w:lineRule="auto"/>
      <w:ind w:firstLine="883"/>
      <w:jc w:val="center"/>
      <w:outlineLvl w:val="0"/>
    </w:pPr>
    <w:rPr>
      <w:rFonts w:ascii="宋体" w:hAnsi="宋体" w:eastAsia="宋体"/>
      <w:b/>
      <w:sz w:val="44"/>
      <w:szCs w:val="42"/>
    </w:rPr>
  </w:style>
  <w:style w:type="paragraph" w:styleId="4">
    <w:name w:val="heading 2"/>
    <w:basedOn w:val="3"/>
    <w:next w:val="1"/>
    <w:unhideWhenUsed/>
    <w:qFormat/>
    <w:uiPriority w:val="9"/>
    <w:pPr>
      <w:ind w:firstLine="0" w:firstLineChars="0"/>
      <w:outlineLvl w:val="1"/>
    </w:pPr>
    <w:rPr>
      <w:sz w:val="4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5">
    <w:name w:val="Body Text"/>
    <w:basedOn w:val="1"/>
    <w:qFormat/>
    <w:uiPriority w:val="1"/>
    <w:pPr>
      <w:autoSpaceDE w:val="0"/>
      <w:autoSpaceDN w:val="0"/>
      <w:ind w:left="118" w:firstLine="599"/>
    </w:pPr>
    <w:rPr>
      <w:rFonts w:ascii="宋体" w:hAnsi="宋体" w:cs="宋体"/>
      <w:kern w:val="0"/>
      <w:sz w:val="30"/>
      <w:szCs w:val="3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2384</Words>
  <Characters>2403</Characters>
  <Lines>0</Lines>
  <Paragraphs>0</Paragraphs>
  <TotalTime>3</TotalTime>
  <ScaleCrop>false</ScaleCrop>
  <LinksUpToDate>false</LinksUpToDate>
  <CharactersWithSpaces>2449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2023-02-20T09:03:00Z</dcterms:created>
  <dc:creator>lenovo</dc:creator>
  <cp:lastModifiedBy>宋宋</cp:lastModifiedBy>
  <dcterms:modified xsi:type="dcterms:W3CDTF">2023-03-08T06:35:13Z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FB5E30AC0A83492EAEECEE5CCD63B3FC</vt:lpwstr>
  </property>
</Properties>
</file>