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 w:line="240" w:lineRule="auto"/>
        <w:ind w:left="132" w:firstLine="0" w:firstLineChars="0"/>
        <w:jc w:val="center"/>
        <w:rPr>
          <w:rFonts w:hint="eastAsia" w:ascii="仿宋" w:hAnsi="仿宋" w:eastAsia="仿宋" w:cs="仿宋"/>
          <w:b/>
          <w:bCs/>
          <w:sz w:val="36"/>
          <w:szCs w:val="36"/>
          <w:lang w:val="en-US" w:eastAsia="zh-CN"/>
        </w:rPr>
      </w:pPr>
      <w:bookmarkStart w:id="0" w:name="_GoBack"/>
      <w:bookmarkEnd w:id="0"/>
      <w:r>
        <w:rPr>
          <w:rFonts w:hint="eastAsia" w:ascii="仿宋" w:hAnsi="仿宋" w:eastAsia="仿宋" w:cs="仿宋"/>
          <w:b/>
          <w:bCs/>
          <w:sz w:val="36"/>
          <w:szCs w:val="36"/>
          <w:lang w:val="en-US" w:eastAsia="zh-CN"/>
        </w:rPr>
        <w:t>九州证券股份有限公司</w:t>
      </w:r>
    </w:p>
    <w:p>
      <w:pPr>
        <w:spacing w:before="8" w:line="240" w:lineRule="auto"/>
        <w:ind w:left="132" w:firstLine="0" w:firstLineChars="0"/>
        <w:jc w:val="center"/>
        <w:rPr>
          <w:rFonts w:hint="eastAsia" w:ascii="仿宋" w:hAnsi="仿宋" w:eastAsia="仿宋" w:cs="仿宋"/>
          <w:b/>
          <w:bCs/>
          <w:sz w:val="36"/>
          <w:szCs w:val="36"/>
        </w:rPr>
      </w:pPr>
      <w:r>
        <w:rPr>
          <w:rFonts w:hint="eastAsia" w:ascii="仿宋" w:hAnsi="仿宋" w:eastAsia="仿宋" w:cs="仿宋"/>
          <w:b/>
          <w:bCs/>
          <w:sz w:val="36"/>
          <w:szCs w:val="36"/>
        </w:rPr>
        <w:t>上海证券交易所主板投资风险揭示书</w:t>
      </w:r>
    </w:p>
    <w:p>
      <w:pPr>
        <w:pStyle w:val="2"/>
        <w:ind w:left="0" w:leftChars="0" w:firstLine="0" w:firstLineChars="0"/>
        <w:rPr>
          <w:rFonts w:hint="eastAsia" w:ascii="仿宋" w:hAnsi="仿宋" w:eastAsia="仿宋" w:cs="仿宋"/>
          <w:b/>
          <w:bCs/>
          <w:lang w:eastAsia="zh-CN"/>
        </w:rPr>
      </w:pPr>
    </w:p>
    <w:p>
      <w:pPr>
        <w:pStyle w:val="2"/>
        <w:ind w:firstLine="0" w:firstLineChars="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尊敬的投资者：</w:t>
      </w:r>
    </w:p>
    <w:p>
      <w:pPr>
        <w:pStyle w:val="6"/>
        <w:spacing w:before="1" w:line="367" w:lineRule="auto"/>
        <w:ind w:left="0" w:right="-39" w:rightChars="-13" w:firstLine="639" w:firstLineChars="213"/>
        <w:jc w:val="both"/>
        <w:rPr>
          <w:rFonts w:hint="eastAsia" w:ascii="仿宋" w:hAnsi="仿宋" w:eastAsia="仿宋" w:cs="仿宋"/>
          <w:sz w:val="30"/>
          <w:szCs w:val="30"/>
          <w:lang w:eastAsia="zh-CN"/>
        </w:rPr>
      </w:pPr>
      <w:r>
        <w:rPr>
          <w:rFonts w:hint="eastAsia" w:ascii="仿宋" w:hAnsi="仿宋" w:eastAsia="仿宋" w:cs="仿宋"/>
          <w:sz w:val="30"/>
          <w:szCs w:val="30"/>
          <w:lang w:eastAsia="zh-CN"/>
        </w:rPr>
        <w:t>为</w:t>
      </w:r>
      <w:r>
        <w:rPr>
          <w:rFonts w:hint="eastAsia" w:ascii="仿宋" w:hAnsi="仿宋" w:eastAsia="仿宋" w:cs="仿宋"/>
          <w:sz w:val="30"/>
          <w:szCs w:val="30"/>
          <w:lang w:val="en-US" w:eastAsia="zh-CN"/>
        </w:rPr>
        <w:t>了</w:t>
      </w:r>
      <w:r>
        <w:rPr>
          <w:rFonts w:hint="eastAsia" w:ascii="仿宋" w:hAnsi="仿宋" w:eastAsia="仿宋" w:cs="仿宋"/>
          <w:sz w:val="30"/>
          <w:szCs w:val="30"/>
          <w:lang w:eastAsia="zh-CN"/>
        </w:rPr>
        <w:t>使</w:t>
      </w:r>
      <w:r>
        <w:rPr>
          <w:rFonts w:hint="eastAsia" w:ascii="仿宋" w:hAnsi="仿宋" w:eastAsia="仿宋" w:cs="仿宋"/>
          <w:sz w:val="30"/>
          <w:szCs w:val="30"/>
          <w:lang w:val="en-US" w:eastAsia="zh-CN"/>
        </w:rPr>
        <w:t>您</w:t>
      </w:r>
      <w:r>
        <w:rPr>
          <w:rFonts w:hint="eastAsia" w:ascii="仿宋" w:hAnsi="仿宋" w:eastAsia="仿宋" w:cs="仿宋"/>
          <w:sz w:val="30"/>
          <w:szCs w:val="30"/>
          <w:lang w:eastAsia="zh-CN"/>
        </w:rPr>
        <w:t>充分了解上海证券交易所（以下简称“上交所”）</w:t>
      </w:r>
      <w:r>
        <w:rPr>
          <w:rFonts w:hint="eastAsia" w:ascii="仿宋" w:hAnsi="仿宋" w:eastAsia="仿宋" w:cs="仿宋"/>
          <w:sz w:val="30"/>
          <w:szCs w:val="30"/>
          <w:lang w:val="en-US" w:eastAsia="zh-CN"/>
        </w:rPr>
        <w:t>主板的相关风险，</w:t>
      </w:r>
      <w:r>
        <w:rPr>
          <w:rFonts w:hint="eastAsia" w:ascii="仿宋" w:hAnsi="仿宋" w:eastAsia="仿宋" w:cs="仿宋"/>
          <w:sz w:val="30"/>
          <w:szCs w:val="30"/>
          <w:lang w:eastAsia="zh-CN"/>
        </w:rPr>
        <w:t>根据《上海证券交易所交易规则》及《</w:t>
      </w:r>
      <w:r>
        <w:rPr>
          <w:rFonts w:hint="eastAsia" w:ascii="仿宋" w:hAnsi="仿宋" w:eastAsia="仿宋" w:cs="仿宋"/>
          <w:sz w:val="30"/>
          <w:szCs w:val="30"/>
          <w:lang w:val="en-US" w:eastAsia="zh-CN"/>
        </w:rPr>
        <w:t>上海证券交易所会员管理业务指南第2号-风险揭示书必备条款</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我</w:t>
      </w:r>
      <w:r>
        <w:rPr>
          <w:rFonts w:hint="eastAsia" w:ascii="仿宋" w:hAnsi="仿宋" w:eastAsia="仿宋" w:cs="仿宋"/>
          <w:sz w:val="30"/>
          <w:szCs w:val="30"/>
          <w:lang w:eastAsia="zh-CN"/>
        </w:rPr>
        <w:t>司特向您提供《</w:t>
      </w:r>
      <w:r>
        <w:rPr>
          <w:rFonts w:hint="eastAsia" w:ascii="仿宋" w:hAnsi="仿宋" w:eastAsia="仿宋" w:cs="仿宋"/>
          <w:sz w:val="30"/>
          <w:szCs w:val="30"/>
          <w:lang w:val="en-US" w:eastAsia="zh-CN"/>
        </w:rPr>
        <w:t>九州证券股份有限公司</w:t>
      </w:r>
      <w:r>
        <w:rPr>
          <w:rFonts w:hint="eastAsia" w:ascii="仿宋" w:hAnsi="仿宋" w:eastAsia="仿宋" w:cs="仿宋"/>
          <w:sz w:val="30"/>
          <w:szCs w:val="30"/>
          <w:lang w:eastAsia="zh-CN"/>
        </w:rPr>
        <w:t>上海证券交易所</w:t>
      </w:r>
      <w:r>
        <w:rPr>
          <w:rFonts w:hint="eastAsia" w:ascii="仿宋" w:hAnsi="仿宋" w:eastAsia="仿宋" w:cs="仿宋"/>
          <w:sz w:val="30"/>
          <w:szCs w:val="30"/>
          <w:lang w:val="en-US" w:eastAsia="zh-CN"/>
        </w:rPr>
        <w:t>主板投资</w:t>
      </w:r>
      <w:r>
        <w:rPr>
          <w:rFonts w:hint="eastAsia" w:ascii="仿宋" w:hAnsi="仿宋" w:eastAsia="仿宋" w:cs="仿宋"/>
          <w:sz w:val="30"/>
          <w:szCs w:val="30"/>
          <w:lang w:eastAsia="zh-CN"/>
        </w:rPr>
        <w:t>风险揭示书》（以下简称《风险揭示书》），</w:t>
      </w:r>
      <w:r>
        <w:rPr>
          <w:rFonts w:hint="eastAsia" w:ascii="仿宋" w:hAnsi="仿宋" w:eastAsia="仿宋" w:cs="仿宋"/>
          <w:sz w:val="30"/>
          <w:szCs w:val="30"/>
          <w:lang w:val="en-US" w:eastAsia="zh-CN"/>
        </w:rPr>
        <w:t>向您充分揭示参与主板股票、存托凭证（以下统称“股票”）申购、交易的相关风险。</w:t>
      </w:r>
      <w:r>
        <w:rPr>
          <w:rFonts w:hint="eastAsia" w:ascii="仿宋" w:hAnsi="仿宋" w:eastAsia="仿宋" w:cs="仿宋"/>
          <w:sz w:val="30"/>
          <w:szCs w:val="30"/>
          <w:lang w:eastAsia="zh-CN"/>
        </w:rPr>
        <w:t>请您务必在申请开通业务前仔细阅读以下风险提示：</w:t>
      </w:r>
    </w:p>
    <w:p>
      <w:pPr>
        <w:pStyle w:val="9"/>
        <w:spacing w:line="560" w:lineRule="exact"/>
        <w:ind w:firstLine="600"/>
        <w:rPr>
          <w:rFonts w:hint="eastAsia" w:ascii="仿宋" w:hAnsi="仿宋" w:eastAsia="仿宋" w:cs="仿宋"/>
          <w:color w:val="000000"/>
          <w:sz w:val="30"/>
          <w:szCs w:val="30"/>
        </w:rPr>
      </w:pPr>
      <w:r>
        <w:rPr>
          <w:rFonts w:hint="eastAsia" w:ascii="仿宋" w:hAnsi="仿宋" w:eastAsia="仿宋" w:cs="仿宋"/>
          <w:sz w:val="30"/>
          <w:szCs w:val="30"/>
        </w:rPr>
        <w:t>一、全面实行股票发行注册制后，主板股票发行、上市、交易、持续监管等相关制度安排发生一定变化，</w:t>
      </w:r>
      <w:r>
        <w:rPr>
          <w:rFonts w:hint="eastAsia" w:ascii="仿宋" w:hAnsi="仿宋" w:eastAsia="仿宋" w:cs="仿宋"/>
          <w:sz w:val="30"/>
          <w:szCs w:val="30"/>
          <w:lang w:val="en-US" w:eastAsia="zh-CN"/>
        </w:rPr>
        <w:t>您</w:t>
      </w:r>
      <w:r>
        <w:rPr>
          <w:rFonts w:hint="eastAsia" w:ascii="仿宋" w:hAnsi="仿宋" w:eastAsia="仿宋" w:cs="仿宋"/>
          <w:color w:val="000000"/>
          <w:sz w:val="30"/>
          <w:szCs w:val="30"/>
        </w:rPr>
        <w:t xml:space="preserve">应当充分知悉并关注相关规则。 </w:t>
      </w:r>
    </w:p>
    <w:p>
      <w:pPr>
        <w:numPr>
          <w:ilvl w:val="255"/>
          <w:numId w:val="0"/>
        </w:numPr>
        <w:spacing w:line="560" w:lineRule="exact"/>
        <w:ind w:firstLine="600" w:firstLineChars="200"/>
        <w:rPr>
          <w:rFonts w:hint="eastAsia" w:ascii="仿宋" w:hAnsi="仿宋" w:eastAsia="仿宋" w:cs="仿宋"/>
          <w:sz w:val="30"/>
          <w:szCs w:val="30"/>
        </w:rPr>
      </w:pPr>
      <w:r>
        <w:rPr>
          <w:rFonts w:hint="eastAsia" w:ascii="仿宋" w:hAnsi="仿宋" w:eastAsia="仿宋" w:cs="仿宋"/>
          <w:sz w:val="30"/>
          <w:szCs w:val="30"/>
        </w:rPr>
        <w:t>二、主板上市公司可能存在有累计未弥补亏损、最近3个会计年度未能连续盈利等情形；已在境外上市的红筹企业、未在境外上市的红筹企业、存在表决权差异安排的企业具有差异化上市标准，</w:t>
      </w:r>
      <w:r>
        <w:rPr>
          <w:rFonts w:hint="eastAsia" w:ascii="仿宋" w:hAnsi="仿宋" w:eastAsia="仿宋" w:cs="仿宋"/>
          <w:sz w:val="30"/>
          <w:szCs w:val="30"/>
          <w:lang w:val="en-US" w:eastAsia="zh-CN"/>
        </w:rPr>
        <w:t>您</w:t>
      </w:r>
      <w:r>
        <w:rPr>
          <w:rFonts w:hint="eastAsia" w:ascii="仿宋" w:hAnsi="仿宋" w:eastAsia="仿宋" w:cs="仿宋"/>
          <w:sz w:val="30"/>
          <w:szCs w:val="30"/>
        </w:rPr>
        <w:t>应当关注。</w:t>
      </w:r>
    </w:p>
    <w:p>
      <w:pPr>
        <w:pStyle w:val="9"/>
        <w:spacing w:line="560" w:lineRule="exact"/>
        <w:ind w:firstLine="600"/>
        <w:rPr>
          <w:rFonts w:hint="eastAsia" w:ascii="仿宋" w:hAnsi="仿宋" w:eastAsia="仿宋" w:cs="仿宋"/>
          <w:color w:val="000000"/>
          <w:sz w:val="30"/>
          <w:szCs w:val="30"/>
        </w:rPr>
      </w:pPr>
      <w:r>
        <w:rPr>
          <w:rFonts w:hint="eastAsia" w:ascii="仿宋" w:hAnsi="仿宋" w:eastAsia="仿宋" w:cs="仿宋"/>
          <w:color w:val="000000"/>
          <w:sz w:val="30"/>
          <w:szCs w:val="30"/>
        </w:rPr>
        <w:t>三、</w:t>
      </w:r>
      <w:r>
        <w:rPr>
          <w:rFonts w:hint="eastAsia" w:ascii="仿宋" w:hAnsi="仿宋" w:eastAsia="仿宋" w:cs="仿宋"/>
          <w:sz w:val="30"/>
          <w:szCs w:val="30"/>
        </w:rPr>
        <w:t>首次公开发行主板股票</w:t>
      </w:r>
      <w:r>
        <w:rPr>
          <w:rFonts w:hint="eastAsia" w:ascii="仿宋" w:hAnsi="仿宋" w:eastAsia="仿宋" w:cs="仿宋"/>
          <w:color w:val="000000"/>
          <w:sz w:val="30"/>
          <w:szCs w:val="30"/>
        </w:rPr>
        <w:t>可能采用直接定价或者询价定价方式。采用询价定价方式的，询价对象除了证券公司等八类专业机构投资者外，还包括符合一定条件的其他法人和组织、个人投资者。</w:t>
      </w:r>
    </w:p>
    <w:p>
      <w:pPr>
        <w:pStyle w:val="9"/>
        <w:spacing w:line="560" w:lineRule="exact"/>
        <w:ind w:firstLine="600"/>
        <w:rPr>
          <w:rFonts w:hint="eastAsia" w:ascii="仿宋" w:hAnsi="仿宋" w:eastAsia="仿宋" w:cs="仿宋"/>
          <w:color w:val="000000"/>
          <w:sz w:val="30"/>
          <w:szCs w:val="30"/>
        </w:rPr>
      </w:pPr>
      <w:r>
        <w:rPr>
          <w:rFonts w:hint="eastAsia" w:ascii="仿宋" w:hAnsi="仿宋" w:eastAsia="仿宋" w:cs="仿宋"/>
          <w:color w:val="000000"/>
          <w:sz w:val="30"/>
          <w:szCs w:val="30"/>
        </w:rPr>
        <w:t>四、</w:t>
      </w:r>
      <w:r>
        <w:rPr>
          <w:rFonts w:hint="eastAsia" w:ascii="仿宋" w:hAnsi="仿宋" w:eastAsia="仿宋" w:cs="仿宋"/>
          <w:sz w:val="30"/>
          <w:szCs w:val="30"/>
        </w:rPr>
        <w:t>首次公开发行主板股票</w:t>
      </w:r>
      <w:r>
        <w:rPr>
          <w:rFonts w:hint="eastAsia" w:ascii="仿宋" w:hAnsi="仿宋" w:eastAsia="仿宋" w:cs="仿宋"/>
          <w:color w:val="000000"/>
          <w:sz w:val="30"/>
          <w:szCs w:val="30"/>
        </w:rPr>
        <w:t>采用询价方式的，初步询价结束后，发行人预计发行后总市值不满足其在招股说明书中明确选择的市值与财务指标上市标准的，将按规定中止发行。</w:t>
      </w:r>
    </w:p>
    <w:p>
      <w:pPr>
        <w:pStyle w:val="9"/>
        <w:spacing w:line="560" w:lineRule="exact"/>
        <w:ind w:firstLine="600"/>
        <w:rPr>
          <w:rFonts w:hint="eastAsia" w:ascii="仿宋" w:hAnsi="仿宋" w:eastAsia="仿宋" w:cs="仿宋"/>
          <w:color w:val="000000"/>
          <w:sz w:val="30"/>
          <w:szCs w:val="30"/>
        </w:rPr>
      </w:pPr>
      <w:r>
        <w:rPr>
          <w:rFonts w:hint="eastAsia" w:ascii="仿宋" w:hAnsi="仿宋" w:eastAsia="仿宋" w:cs="仿宋"/>
          <w:color w:val="000000"/>
          <w:sz w:val="30"/>
          <w:szCs w:val="30"/>
        </w:rPr>
        <w:t>五、</w:t>
      </w:r>
      <w:r>
        <w:rPr>
          <w:rFonts w:hint="eastAsia" w:ascii="仿宋" w:hAnsi="仿宋" w:eastAsia="仿宋" w:cs="仿宋"/>
          <w:sz w:val="30"/>
          <w:szCs w:val="30"/>
        </w:rPr>
        <w:t>首次公开发行主板股票</w:t>
      </w:r>
      <w:r>
        <w:rPr>
          <w:rFonts w:hint="eastAsia" w:ascii="仿宋" w:hAnsi="仿宋" w:eastAsia="仿宋" w:cs="仿宋"/>
          <w:color w:val="000000"/>
          <w:sz w:val="30"/>
          <w:szCs w:val="30"/>
        </w:rPr>
        <w:t>采用询价方式的，可能存在发行价格超过剔除最高报价部分后全部网下投资者剩余报价的中位数和加权平均数，以及公募基金等六类产品剩余报价的中位数和加权平均数的孰低值的情况；可能存在发行价格超过境外市场价格或者其对应市盈率超过同行业上市公司二级市场平均市盈率等情形，</w:t>
      </w:r>
      <w:r>
        <w:rPr>
          <w:rFonts w:hint="eastAsia" w:ascii="仿宋" w:hAnsi="仿宋" w:eastAsia="仿宋" w:cs="仿宋"/>
          <w:color w:val="000000"/>
          <w:sz w:val="30"/>
          <w:szCs w:val="30"/>
          <w:lang w:val="en-US" w:eastAsia="zh-CN"/>
        </w:rPr>
        <w:t>您</w:t>
      </w:r>
      <w:r>
        <w:rPr>
          <w:rFonts w:hint="eastAsia" w:ascii="仿宋" w:hAnsi="仿宋" w:eastAsia="仿宋" w:cs="仿宋"/>
          <w:color w:val="000000"/>
          <w:sz w:val="30"/>
          <w:szCs w:val="30"/>
        </w:rPr>
        <w:t>参与申购前应关注投资风险特别公告等与定价合理性相关的信息，注意投资风险</w:t>
      </w:r>
      <w:r>
        <w:rPr>
          <w:rFonts w:hint="eastAsia" w:ascii="仿宋" w:hAnsi="仿宋" w:eastAsia="仿宋" w:cs="仿宋"/>
          <w:sz w:val="30"/>
          <w:szCs w:val="30"/>
        </w:rPr>
        <w:t>。</w:t>
      </w:r>
    </w:p>
    <w:p>
      <w:pPr>
        <w:pStyle w:val="9"/>
        <w:spacing w:line="560" w:lineRule="exact"/>
        <w:ind w:firstLine="600"/>
        <w:rPr>
          <w:rFonts w:hint="eastAsia" w:ascii="仿宋" w:hAnsi="仿宋" w:eastAsia="仿宋" w:cs="仿宋"/>
          <w:sz w:val="30"/>
          <w:szCs w:val="30"/>
        </w:rPr>
      </w:pPr>
      <w:r>
        <w:rPr>
          <w:rFonts w:hint="eastAsia" w:ascii="仿宋" w:hAnsi="仿宋" w:eastAsia="仿宋" w:cs="仿宋"/>
          <w:color w:val="000000"/>
          <w:sz w:val="30"/>
          <w:szCs w:val="30"/>
        </w:rPr>
        <w:t>六、根据首次公开发行主板股票发行后总股本差异等情形，网上初始发行比例可能有所差别；根据网上投资者有效申购倍数差异，可能存在不同的网下向网上回拨比例，</w:t>
      </w:r>
      <w:r>
        <w:rPr>
          <w:rFonts w:hint="eastAsia" w:ascii="仿宋" w:hAnsi="仿宋" w:eastAsia="仿宋" w:cs="仿宋"/>
          <w:color w:val="000000"/>
          <w:sz w:val="30"/>
          <w:szCs w:val="30"/>
          <w:lang w:val="en-US" w:eastAsia="zh-CN"/>
        </w:rPr>
        <w:t>您</w:t>
      </w:r>
      <w:r>
        <w:rPr>
          <w:rFonts w:hint="eastAsia" w:ascii="仿宋" w:hAnsi="仿宋" w:eastAsia="仿宋" w:cs="仿宋"/>
          <w:color w:val="000000"/>
          <w:sz w:val="30"/>
          <w:szCs w:val="30"/>
        </w:rPr>
        <w:t>应当关注。</w:t>
      </w:r>
    </w:p>
    <w:p>
      <w:pPr>
        <w:pStyle w:val="9"/>
        <w:spacing w:line="560" w:lineRule="exact"/>
        <w:ind w:firstLine="600"/>
        <w:rPr>
          <w:rFonts w:hint="eastAsia" w:ascii="仿宋" w:hAnsi="仿宋" w:eastAsia="仿宋" w:cs="仿宋"/>
          <w:color w:val="000000"/>
          <w:sz w:val="30"/>
          <w:szCs w:val="30"/>
        </w:rPr>
      </w:pPr>
      <w:r>
        <w:rPr>
          <w:rFonts w:hint="eastAsia" w:ascii="仿宋" w:hAnsi="仿宋" w:eastAsia="仿宋" w:cs="仿宋"/>
          <w:color w:val="000000"/>
          <w:sz w:val="30"/>
          <w:szCs w:val="30"/>
        </w:rPr>
        <w:t>七、</w:t>
      </w:r>
      <w:r>
        <w:rPr>
          <w:rFonts w:hint="eastAsia" w:ascii="仿宋" w:hAnsi="仿宋" w:eastAsia="仿宋" w:cs="仿宋"/>
          <w:sz w:val="30"/>
          <w:szCs w:val="30"/>
        </w:rPr>
        <w:t>首次公开发行主板股票</w:t>
      </w:r>
      <w:r>
        <w:rPr>
          <w:rFonts w:hint="eastAsia" w:ascii="仿宋" w:hAnsi="仿宋" w:eastAsia="仿宋" w:cs="仿宋"/>
          <w:color w:val="000000"/>
          <w:sz w:val="30"/>
          <w:szCs w:val="30"/>
        </w:rPr>
        <w:t>时，发行人和主承销商可以采用超额配售选择权，即存在发行人增发主板股票的可能性。</w:t>
      </w:r>
      <w:r>
        <w:rPr>
          <w:rFonts w:hint="eastAsia" w:ascii="仿宋" w:hAnsi="仿宋" w:eastAsia="仿宋" w:cs="仿宋"/>
          <w:color w:val="000000"/>
          <w:sz w:val="30"/>
          <w:szCs w:val="30"/>
          <w:lang w:val="en-US" w:eastAsia="zh-CN"/>
        </w:rPr>
        <w:t>您</w:t>
      </w:r>
      <w:r>
        <w:rPr>
          <w:rFonts w:hint="eastAsia" w:ascii="仿宋" w:hAnsi="仿宋" w:eastAsia="仿宋" w:cs="仿宋"/>
          <w:color w:val="000000"/>
          <w:sz w:val="30"/>
          <w:szCs w:val="30"/>
        </w:rPr>
        <w:t>应关注发行公告中披露全额行使超额配售选择权拟发行证券的具体数量。</w:t>
      </w:r>
    </w:p>
    <w:p>
      <w:pPr>
        <w:pStyle w:val="9"/>
        <w:spacing w:line="560" w:lineRule="exact"/>
        <w:ind w:firstLine="600"/>
        <w:rPr>
          <w:rFonts w:hint="eastAsia" w:ascii="仿宋" w:hAnsi="仿宋" w:eastAsia="仿宋" w:cs="仿宋"/>
          <w:color w:val="000000"/>
          <w:sz w:val="30"/>
          <w:szCs w:val="30"/>
        </w:rPr>
      </w:pPr>
      <w:r>
        <w:rPr>
          <w:rFonts w:hint="eastAsia" w:ascii="仿宋" w:hAnsi="仿宋" w:eastAsia="仿宋" w:cs="仿宋"/>
          <w:color w:val="000000"/>
          <w:sz w:val="30"/>
          <w:szCs w:val="30"/>
        </w:rPr>
        <w:t>八、主板股票可能主动终止上市，也可能因触及强制退市情形被终止上市。主动退市或因触及交易类强制退市情形被终止上市的主板股票，不进入退市整理期，直接予以摘牌；因触及重大违法类、财务类或者规范类强制退市情形被终止上市的主板股票，进入退市整理期交易15个交易日后予以摘牌。</w:t>
      </w:r>
      <w:r>
        <w:rPr>
          <w:rFonts w:hint="eastAsia" w:ascii="仿宋" w:hAnsi="仿宋" w:eastAsia="仿宋" w:cs="仿宋"/>
          <w:color w:val="000000"/>
          <w:sz w:val="30"/>
          <w:szCs w:val="30"/>
          <w:lang w:val="en-US" w:eastAsia="zh-CN"/>
        </w:rPr>
        <w:t>您</w:t>
      </w:r>
      <w:r>
        <w:rPr>
          <w:rFonts w:hint="eastAsia" w:ascii="仿宋" w:hAnsi="仿宋" w:eastAsia="仿宋" w:cs="仿宋"/>
          <w:color w:val="000000"/>
          <w:sz w:val="30"/>
          <w:szCs w:val="30"/>
        </w:rPr>
        <w:t>应当及时了解相关信息和规定，密切关注退市风险。</w:t>
      </w:r>
    </w:p>
    <w:p>
      <w:pPr>
        <w:pStyle w:val="9"/>
        <w:spacing w:line="560" w:lineRule="exact"/>
        <w:ind w:firstLine="600"/>
        <w:rPr>
          <w:rFonts w:hint="eastAsia" w:ascii="仿宋" w:hAnsi="仿宋" w:eastAsia="仿宋" w:cs="仿宋"/>
          <w:sz w:val="30"/>
          <w:szCs w:val="30"/>
        </w:rPr>
      </w:pPr>
      <w:r>
        <w:rPr>
          <w:rFonts w:hint="eastAsia" w:ascii="仿宋" w:hAnsi="仿宋" w:eastAsia="仿宋" w:cs="仿宋"/>
          <w:color w:val="000000"/>
          <w:sz w:val="30"/>
          <w:szCs w:val="30"/>
        </w:rPr>
        <w:t>九、主板上市公司可能设置表决权差异安排。上市公司可能根据此项安排，存在控制权相对集中，以及因每一特别表决权股份拥有的表决权数量大于每一普通股份拥有的表决权数量等情形，而使</w:t>
      </w:r>
      <w:r>
        <w:rPr>
          <w:rFonts w:hint="eastAsia" w:ascii="仿宋" w:hAnsi="仿宋" w:eastAsia="仿宋" w:cs="仿宋"/>
          <w:sz w:val="30"/>
          <w:szCs w:val="30"/>
        </w:rPr>
        <w:t>普通投资者的表决权利及对公司日常经营等事务的影响力受到限制。</w:t>
      </w:r>
    </w:p>
    <w:p>
      <w:pPr>
        <w:pStyle w:val="9"/>
        <w:spacing w:line="560" w:lineRule="exact"/>
        <w:ind w:firstLine="600"/>
        <w:rPr>
          <w:rFonts w:hint="eastAsia" w:ascii="仿宋" w:hAnsi="仿宋" w:eastAsia="仿宋" w:cs="仿宋"/>
          <w:sz w:val="30"/>
          <w:szCs w:val="30"/>
        </w:rPr>
      </w:pPr>
      <w:r>
        <w:rPr>
          <w:rFonts w:hint="eastAsia" w:ascii="仿宋" w:hAnsi="仿宋" w:eastAsia="仿宋" w:cs="仿宋"/>
          <w:sz w:val="30"/>
          <w:szCs w:val="30"/>
        </w:rPr>
        <w:t>十、出现《上海证券交易所股票上市规则》以及上市公司章程规定的情形时，特别表决权股份将按1:1的比例转换为普通股份。股份转换自相关情形发生时即生效，可能与相关股份转换登记时点存在差异。</w:t>
      </w:r>
      <w:r>
        <w:rPr>
          <w:rFonts w:hint="eastAsia" w:ascii="仿宋" w:hAnsi="仿宋" w:eastAsia="仿宋" w:cs="仿宋"/>
          <w:sz w:val="30"/>
          <w:szCs w:val="30"/>
          <w:lang w:val="en-US" w:eastAsia="zh-CN"/>
        </w:rPr>
        <w:t>您</w:t>
      </w:r>
      <w:r>
        <w:rPr>
          <w:rFonts w:hint="eastAsia" w:ascii="仿宋" w:hAnsi="仿宋" w:eastAsia="仿宋" w:cs="仿宋"/>
          <w:sz w:val="30"/>
          <w:szCs w:val="30"/>
        </w:rPr>
        <w:t>需及时关注上市公司相关公告，以了解特别表决权股份变动事宜。</w:t>
      </w:r>
    </w:p>
    <w:p>
      <w:pPr>
        <w:pStyle w:val="9"/>
        <w:spacing w:line="560" w:lineRule="exact"/>
        <w:ind w:firstLine="600"/>
        <w:rPr>
          <w:rFonts w:hint="eastAsia" w:ascii="仿宋" w:hAnsi="仿宋" w:eastAsia="仿宋" w:cs="仿宋"/>
          <w:sz w:val="30"/>
          <w:szCs w:val="30"/>
        </w:rPr>
      </w:pPr>
      <w:r>
        <w:rPr>
          <w:rFonts w:hint="eastAsia" w:ascii="仿宋" w:hAnsi="仿宋" w:eastAsia="仿宋" w:cs="仿宋"/>
          <w:sz w:val="30"/>
          <w:szCs w:val="30"/>
        </w:rPr>
        <w:t>十一、主板普通股票及退市整理股票价格涨跌幅限制为10%，风险警示股票为5%，但主板股票在首次公开发行上市后的前5个交易日、进入退市整理期的首日、退市后重新上市首日以及上交所认定的其他情形下不实行价格涨跌幅限制，</w:t>
      </w:r>
      <w:r>
        <w:rPr>
          <w:rFonts w:hint="eastAsia" w:ascii="仿宋" w:hAnsi="仿宋" w:eastAsia="仿宋" w:cs="仿宋"/>
          <w:sz w:val="30"/>
          <w:szCs w:val="30"/>
          <w:lang w:val="en-US" w:eastAsia="zh-CN"/>
        </w:rPr>
        <w:t>您</w:t>
      </w:r>
      <w:r>
        <w:rPr>
          <w:rFonts w:hint="eastAsia" w:ascii="仿宋" w:hAnsi="仿宋" w:eastAsia="仿宋" w:cs="仿宋"/>
          <w:sz w:val="30"/>
          <w:szCs w:val="30"/>
        </w:rPr>
        <w:t>应当关注可能发生的股价波动风险。</w:t>
      </w:r>
    </w:p>
    <w:p>
      <w:pPr>
        <w:pStyle w:val="9"/>
        <w:spacing w:line="560" w:lineRule="exact"/>
        <w:ind w:firstLine="600"/>
        <w:rPr>
          <w:rFonts w:hint="eastAsia" w:ascii="仿宋" w:hAnsi="仿宋" w:eastAsia="仿宋" w:cs="仿宋"/>
          <w:sz w:val="30"/>
          <w:szCs w:val="30"/>
        </w:rPr>
      </w:pPr>
      <w:r>
        <w:rPr>
          <w:rFonts w:hint="eastAsia" w:ascii="仿宋" w:hAnsi="仿宋" w:eastAsia="仿宋" w:cs="仿宋"/>
          <w:sz w:val="30"/>
          <w:szCs w:val="30"/>
        </w:rPr>
        <w:t>十二、</w:t>
      </w:r>
      <w:r>
        <w:rPr>
          <w:rFonts w:hint="eastAsia" w:ascii="仿宋" w:hAnsi="仿宋" w:eastAsia="仿宋" w:cs="仿宋"/>
          <w:sz w:val="30"/>
          <w:szCs w:val="30"/>
          <w:lang w:val="en-US" w:eastAsia="zh-CN"/>
        </w:rPr>
        <w:t>您</w:t>
      </w:r>
      <w:r>
        <w:rPr>
          <w:rFonts w:hint="eastAsia" w:ascii="仿宋" w:hAnsi="仿宋" w:eastAsia="仿宋" w:cs="仿宋"/>
          <w:sz w:val="30"/>
          <w:szCs w:val="30"/>
        </w:rPr>
        <w:t>应当关注主板无价格涨跌幅限制股票竞价交易实施盘中临时停牌机制。盘中交易价格较当日开盘价格首次上涨或下跌达到或超过30%、60%，以及出现证监会或者上交所认定的其他情形的，单次临时停牌时间为10分钟，停牌时间跨越14:57且须于当日复牌的，于当日14:57复牌并对已接受的申报进行复牌集合竞价，再进行收盘集合竞价。</w:t>
      </w:r>
    </w:p>
    <w:p>
      <w:pPr>
        <w:pStyle w:val="9"/>
        <w:spacing w:line="560" w:lineRule="exact"/>
        <w:ind w:firstLine="600"/>
        <w:rPr>
          <w:rFonts w:hint="eastAsia" w:ascii="仿宋" w:hAnsi="仿宋" w:eastAsia="仿宋" w:cs="仿宋"/>
          <w:sz w:val="30"/>
          <w:szCs w:val="30"/>
        </w:rPr>
      </w:pPr>
      <w:r>
        <w:rPr>
          <w:rFonts w:hint="eastAsia" w:ascii="仿宋" w:hAnsi="仿宋" w:eastAsia="仿宋" w:cs="仿宋"/>
          <w:sz w:val="30"/>
          <w:szCs w:val="30"/>
        </w:rPr>
        <w:t>十三、</w:t>
      </w:r>
      <w:r>
        <w:rPr>
          <w:rFonts w:hint="eastAsia" w:ascii="仿宋" w:hAnsi="仿宋" w:eastAsia="仿宋" w:cs="仿宋"/>
          <w:sz w:val="30"/>
          <w:szCs w:val="30"/>
          <w:lang w:val="en-US" w:eastAsia="zh-CN"/>
        </w:rPr>
        <w:t>您</w:t>
      </w:r>
      <w:r>
        <w:rPr>
          <w:rFonts w:hint="eastAsia" w:ascii="仿宋" w:hAnsi="仿宋" w:eastAsia="仿宋" w:cs="仿宋"/>
          <w:sz w:val="30"/>
          <w:szCs w:val="30"/>
        </w:rPr>
        <w:t>应当关注股票集合竞价和连续竞价阶段有效申报价格范围的相关要求，避免影响申报。申报时超过涨跌幅限制价格或者有效申报价格范围的申报为无效申报。</w:t>
      </w:r>
    </w:p>
    <w:p>
      <w:pPr>
        <w:spacing w:line="560" w:lineRule="exact"/>
        <w:rPr>
          <w:rFonts w:hint="eastAsia" w:ascii="仿宋" w:hAnsi="仿宋" w:eastAsia="仿宋" w:cs="仿宋"/>
          <w:sz w:val="30"/>
          <w:szCs w:val="30"/>
        </w:rPr>
      </w:pPr>
      <w:r>
        <w:rPr>
          <w:rFonts w:hint="eastAsia" w:ascii="仿宋" w:hAnsi="仿宋" w:eastAsia="仿宋" w:cs="仿宋"/>
          <w:sz w:val="30"/>
          <w:szCs w:val="30"/>
        </w:rPr>
        <w:t>十四、按照《首次公开发行股票注册管理办法》发行的主板股票，上市首日即可作为融资融券标的，</w:t>
      </w:r>
      <w:r>
        <w:rPr>
          <w:rFonts w:hint="eastAsia" w:ascii="仿宋" w:hAnsi="仿宋" w:eastAsia="仿宋" w:cs="仿宋"/>
          <w:sz w:val="30"/>
          <w:szCs w:val="30"/>
          <w:lang w:val="en-US" w:eastAsia="zh-CN"/>
        </w:rPr>
        <w:t>您</w:t>
      </w:r>
      <w:r>
        <w:rPr>
          <w:rFonts w:hint="eastAsia" w:ascii="仿宋" w:hAnsi="仿宋" w:eastAsia="仿宋" w:cs="仿宋"/>
          <w:sz w:val="30"/>
          <w:szCs w:val="30"/>
        </w:rPr>
        <w:t>应注意相关风险。</w:t>
      </w:r>
    </w:p>
    <w:p>
      <w:pPr>
        <w:pStyle w:val="9"/>
        <w:spacing w:line="560" w:lineRule="exact"/>
        <w:ind w:firstLine="600"/>
        <w:rPr>
          <w:rFonts w:hint="eastAsia" w:ascii="仿宋" w:hAnsi="仿宋" w:eastAsia="仿宋" w:cs="仿宋"/>
          <w:sz w:val="30"/>
          <w:szCs w:val="30"/>
        </w:rPr>
      </w:pPr>
      <w:r>
        <w:rPr>
          <w:rFonts w:hint="eastAsia" w:ascii="仿宋" w:hAnsi="仿宋" w:eastAsia="仿宋" w:cs="仿宋"/>
          <w:sz w:val="30"/>
          <w:szCs w:val="30"/>
        </w:rPr>
        <w:t>十五、</w:t>
      </w:r>
      <w:r>
        <w:rPr>
          <w:rFonts w:hint="eastAsia" w:ascii="仿宋" w:hAnsi="仿宋" w:eastAsia="仿宋" w:cs="仿宋"/>
          <w:sz w:val="30"/>
          <w:szCs w:val="30"/>
          <w:lang w:val="en-US" w:eastAsia="zh-CN"/>
        </w:rPr>
        <w:t>您</w:t>
      </w:r>
      <w:r>
        <w:rPr>
          <w:rFonts w:hint="eastAsia" w:ascii="仿宋" w:hAnsi="仿宋" w:eastAsia="仿宋" w:cs="仿宋"/>
          <w:sz w:val="30"/>
          <w:szCs w:val="30"/>
        </w:rPr>
        <w:t>应当关注主板股票交易可能触发的异常波动和严重异常波动情形，知悉严重异常波动情形可能导致停牌核查，审慎参与相关股票交易。</w:t>
      </w:r>
    </w:p>
    <w:p>
      <w:pPr>
        <w:pStyle w:val="9"/>
        <w:spacing w:line="560" w:lineRule="exact"/>
        <w:ind w:firstLine="600"/>
        <w:rPr>
          <w:rFonts w:hint="eastAsia" w:ascii="仿宋" w:hAnsi="仿宋" w:eastAsia="仿宋" w:cs="仿宋"/>
          <w:color w:val="000000"/>
          <w:sz w:val="30"/>
          <w:szCs w:val="30"/>
        </w:rPr>
      </w:pPr>
      <w:r>
        <w:rPr>
          <w:rFonts w:hint="eastAsia" w:ascii="仿宋" w:hAnsi="仿宋" w:eastAsia="仿宋" w:cs="仿宋"/>
          <w:color w:val="000000"/>
          <w:sz w:val="30"/>
          <w:szCs w:val="30"/>
        </w:rPr>
        <w:t xml:space="preserve">十六、符合相关规定的红筹企业可以在主板上市。红筹企业在境外注册，可能采用协议控制架构，在上市标准、信息披露、分红派息、退市标准等方面可能与境内上市公司存在差异。红筹企业的股权结构、公司治理、运行规范等事项适用境外注册地公司法等法律法规的，其投资者权益保护水平总体上应不低于境内法律法规等要求，但可能与境内法律法规等要求为境内投资者权益提供的保护存在差异。                                                                                                                                                                                                                                                                                                                                                                                                                                                                                                                                                                                                                                                                                                                                                                                                                                                                                                                                                                                                                                                                                                                                                                                                                                                                                                                                                                                                                                                                                                                                                                                                                                                                                                                                                                                                                                                                                                                                                                                                                                                                                                                                                                         </w:t>
      </w:r>
    </w:p>
    <w:p>
      <w:pPr>
        <w:pStyle w:val="9"/>
        <w:spacing w:line="560" w:lineRule="exact"/>
        <w:ind w:firstLine="0" w:firstLineChars="0"/>
        <w:rPr>
          <w:rFonts w:hint="eastAsia" w:ascii="仿宋" w:hAnsi="仿宋" w:eastAsia="仿宋" w:cs="仿宋"/>
          <w:sz w:val="30"/>
          <w:szCs w:val="30"/>
        </w:rPr>
      </w:pPr>
      <w:r>
        <w:rPr>
          <w:rFonts w:hint="eastAsia" w:ascii="仿宋" w:hAnsi="仿宋" w:eastAsia="仿宋" w:cs="仿宋"/>
          <w:sz w:val="30"/>
          <w:szCs w:val="30"/>
        </w:rPr>
        <w:t xml:space="preserve">    十七、</w:t>
      </w:r>
      <w:r>
        <w:rPr>
          <w:rFonts w:hint="eastAsia" w:ascii="仿宋" w:hAnsi="仿宋" w:eastAsia="仿宋" w:cs="仿宋"/>
          <w:color w:val="000000"/>
          <w:sz w:val="30"/>
          <w:szCs w:val="30"/>
        </w:rPr>
        <w:t>红筹企业可以发行股票或存托凭证并在主板上市。</w:t>
      </w:r>
      <w:r>
        <w:rPr>
          <w:rFonts w:hint="eastAsia" w:ascii="仿宋" w:hAnsi="仿宋" w:eastAsia="仿宋" w:cs="仿宋"/>
          <w:sz w:val="30"/>
          <w:szCs w:val="30"/>
        </w:rPr>
        <w:t>存托凭证由存托人签发、以境外证券为基础在中国境内发行，代表境外基础证券权益。红筹企业存托凭证持有人实际享有的权益与境外基础证券持有人的权益虽然基本相当,但并不能等同于直接持有境外基础证券。</w:t>
      </w:r>
      <w:r>
        <w:rPr>
          <w:rFonts w:hint="eastAsia" w:ascii="仿宋" w:hAnsi="仿宋" w:eastAsia="仿宋" w:cs="仿宋"/>
          <w:color w:val="000000"/>
          <w:sz w:val="30"/>
          <w:szCs w:val="30"/>
          <w:lang w:val="en-US" w:eastAsia="zh-CN"/>
        </w:rPr>
        <w:t>您</w:t>
      </w:r>
      <w:r>
        <w:rPr>
          <w:rFonts w:hint="eastAsia" w:ascii="仿宋" w:hAnsi="仿宋" w:eastAsia="仿宋" w:cs="仿宋"/>
          <w:sz w:val="30"/>
          <w:szCs w:val="30"/>
        </w:rPr>
        <w:t>应当充分知悉存托协议和相关规则的具体内容，关注交易和持有过程中可能存在的风险。</w:t>
      </w:r>
    </w:p>
    <w:p>
      <w:pPr>
        <w:spacing w:line="560" w:lineRule="exact"/>
        <w:rPr>
          <w:rFonts w:hint="eastAsia" w:ascii="仿宋" w:hAnsi="仿宋" w:eastAsia="仿宋" w:cs="仿宋"/>
          <w:sz w:val="30"/>
          <w:szCs w:val="30"/>
        </w:rPr>
      </w:pPr>
      <w:r>
        <w:rPr>
          <w:rFonts w:hint="eastAsia" w:ascii="仿宋" w:hAnsi="仿宋" w:eastAsia="仿宋" w:cs="仿宋"/>
          <w:sz w:val="30"/>
          <w:szCs w:val="30"/>
        </w:rPr>
        <w:t>十八、主板相关法律、行政法规、部门规章、规范性文件（以下简称</w:t>
      </w:r>
      <w:r>
        <w:rPr>
          <w:rFonts w:hint="eastAsia" w:ascii="仿宋" w:hAnsi="仿宋" w:eastAsia="仿宋" w:cs="仿宋"/>
          <w:sz w:val="30"/>
          <w:szCs w:val="30"/>
          <w:lang w:eastAsia="zh-CN"/>
        </w:rPr>
        <w:t>“</w:t>
      </w:r>
      <w:r>
        <w:rPr>
          <w:rFonts w:hint="eastAsia" w:ascii="仿宋" w:hAnsi="仿宋" w:eastAsia="仿宋" w:cs="仿宋"/>
          <w:sz w:val="30"/>
          <w:szCs w:val="30"/>
        </w:rPr>
        <w:t>法律法规</w:t>
      </w:r>
      <w:r>
        <w:rPr>
          <w:rFonts w:hint="eastAsia" w:ascii="仿宋" w:hAnsi="仿宋" w:eastAsia="仿宋" w:cs="仿宋"/>
          <w:sz w:val="30"/>
          <w:szCs w:val="30"/>
          <w:lang w:eastAsia="zh-CN"/>
        </w:rPr>
        <w:t>”</w:t>
      </w:r>
      <w:r>
        <w:rPr>
          <w:rFonts w:hint="eastAsia" w:ascii="仿宋" w:hAnsi="仿宋" w:eastAsia="仿宋" w:cs="仿宋"/>
          <w:sz w:val="30"/>
          <w:szCs w:val="30"/>
        </w:rPr>
        <w:t>）和交易所业务规则，可能根据市场情况进行修改，或者制定新的法律法规和业务规则，</w:t>
      </w:r>
      <w:r>
        <w:rPr>
          <w:rFonts w:hint="eastAsia" w:ascii="仿宋" w:hAnsi="仿宋" w:eastAsia="仿宋" w:cs="仿宋"/>
          <w:sz w:val="30"/>
          <w:szCs w:val="30"/>
          <w:lang w:val="en-US" w:eastAsia="zh-CN"/>
        </w:rPr>
        <w:t>您</w:t>
      </w:r>
      <w:r>
        <w:rPr>
          <w:rFonts w:hint="eastAsia" w:ascii="仿宋" w:hAnsi="仿宋" w:eastAsia="仿宋" w:cs="仿宋"/>
          <w:sz w:val="30"/>
          <w:szCs w:val="30"/>
        </w:rPr>
        <w:t>应当及时予以关注和了解。</w:t>
      </w:r>
    </w:p>
    <w:p>
      <w:pPr>
        <w:pStyle w:val="6"/>
        <w:spacing w:before="173" w:line="367" w:lineRule="auto"/>
        <w:ind w:left="0" w:right="-39" w:rightChars="-13" w:firstLineChars="213"/>
        <w:jc w:val="both"/>
        <w:rPr>
          <w:rFonts w:hint="eastAsia" w:ascii="仿宋" w:hAnsi="仿宋" w:eastAsia="仿宋" w:cs="仿宋"/>
          <w:b/>
          <w:bCs/>
          <w:sz w:val="30"/>
          <w:szCs w:val="30"/>
          <w:lang w:eastAsia="zh-CN"/>
        </w:rPr>
      </w:pPr>
      <w:r>
        <w:rPr>
          <w:rFonts w:hint="eastAsia" w:ascii="仿宋" w:hAnsi="仿宋" w:eastAsia="仿宋" w:cs="仿宋"/>
          <w:b/>
          <w:bCs/>
          <w:spacing w:val="-10"/>
          <w:sz w:val="30"/>
          <w:szCs w:val="30"/>
          <w:lang w:eastAsia="zh-CN"/>
        </w:rPr>
        <w:t>本《风险揭示书》的揭示事项仅为列举性质，未能详尽列明</w:t>
      </w:r>
      <w:r>
        <w:rPr>
          <w:rFonts w:hint="eastAsia" w:ascii="仿宋" w:hAnsi="仿宋" w:eastAsia="仿宋" w:cs="仿宋"/>
          <w:b/>
          <w:bCs/>
          <w:spacing w:val="-10"/>
          <w:sz w:val="30"/>
          <w:szCs w:val="30"/>
          <w:lang w:val="en-US" w:eastAsia="zh-CN"/>
        </w:rPr>
        <w:t>主板</w:t>
      </w:r>
      <w:r>
        <w:rPr>
          <w:rFonts w:hint="eastAsia" w:ascii="仿宋" w:hAnsi="仿宋" w:eastAsia="仿宋" w:cs="仿宋"/>
          <w:b/>
          <w:bCs/>
          <w:spacing w:val="-15"/>
          <w:sz w:val="30"/>
          <w:szCs w:val="30"/>
          <w:lang w:eastAsia="zh-CN"/>
        </w:rPr>
        <w:t>股票交易的所有风险，</w:t>
      </w:r>
      <w:r>
        <w:rPr>
          <w:rFonts w:hint="eastAsia" w:ascii="仿宋" w:hAnsi="仿宋" w:eastAsia="仿宋" w:cs="仿宋"/>
          <w:b/>
          <w:bCs/>
          <w:spacing w:val="-15"/>
          <w:sz w:val="30"/>
          <w:szCs w:val="30"/>
          <w:lang w:val="en-US" w:eastAsia="zh-CN"/>
        </w:rPr>
        <w:t>您</w:t>
      </w:r>
      <w:r>
        <w:rPr>
          <w:rFonts w:hint="eastAsia" w:ascii="仿宋" w:hAnsi="仿宋" w:eastAsia="仿宋" w:cs="仿宋"/>
          <w:b/>
          <w:bCs/>
          <w:spacing w:val="-15"/>
          <w:sz w:val="30"/>
          <w:szCs w:val="30"/>
          <w:lang w:eastAsia="zh-CN"/>
        </w:rPr>
        <w:t>在参与交易前，应当认真阅</w:t>
      </w:r>
      <w:r>
        <w:rPr>
          <w:rFonts w:hint="eastAsia" w:ascii="仿宋" w:hAnsi="仿宋" w:eastAsia="仿宋" w:cs="仿宋"/>
          <w:b/>
          <w:bCs/>
          <w:spacing w:val="-19"/>
          <w:sz w:val="30"/>
          <w:szCs w:val="30"/>
          <w:lang w:eastAsia="zh-CN"/>
        </w:rPr>
        <w:t>读</w:t>
      </w:r>
      <w:r>
        <w:rPr>
          <w:rFonts w:hint="eastAsia" w:ascii="仿宋" w:hAnsi="仿宋" w:eastAsia="仿宋" w:cs="仿宋"/>
          <w:b/>
          <w:bCs/>
          <w:spacing w:val="-19"/>
          <w:lang w:val="en-US" w:eastAsia="zh-CN"/>
        </w:rPr>
        <w:t>信息披露公告、业务协议、产品说明书等法律文件，熟悉该项业务相关法律法规、交易所相关业务规则等，</w:t>
      </w:r>
      <w:r>
        <w:rPr>
          <w:rFonts w:hint="eastAsia" w:ascii="仿宋" w:hAnsi="仿宋" w:eastAsia="仿宋" w:cs="仿宋"/>
          <w:b/>
          <w:bCs/>
          <w:spacing w:val="-19"/>
          <w:sz w:val="30"/>
          <w:szCs w:val="30"/>
          <w:lang w:eastAsia="zh-CN"/>
        </w:rPr>
        <w:t>对其他可能存在</w:t>
      </w:r>
      <w:r>
        <w:rPr>
          <w:rFonts w:hint="eastAsia" w:ascii="仿宋" w:hAnsi="仿宋" w:eastAsia="仿宋" w:cs="仿宋"/>
          <w:b/>
          <w:bCs/>
          <w:spacing w:val="-20"/>
          <w:sz w:val="30"/>
          <w:szCs w:val="30"/>
          <w:lang w:eastAsia="zh-CN"/>
        </w:rPr>
        <w:t>的风险因素也应当有所了解和掌握，并确信</w:t>
      </w:r>
      <w:r>
        <w:rPr>
          <w:rFonts w:hint="eastAsia" w:ascii="仿宋" w:hAnsi="仿宋" w:eastAsia="仿宋" w:cs="仿宋"/>
          <w:b/>
          <w:bCs/>
          <w:spacing w:val="-20"/>
          <w:sz w:val="30"/>
          <w:szCs w:val="30"/>
          <w:lang w:val="en-US" w:eastAsia="zh-CN"/>
        </w:rPr>
        <w:t>您</w:t>
      </w:r>
      <w:r>
        <w:rPr>
          <w:rFonts w:hint="eastAsia" w:ascii="仿宋" w:hAnsi="仿宋" w:eastAsia="仿宋" w:cs="仿宋"/>
          <w:b/>
          <w:bCs/>
          <w:spacing w:val="-20"/>
          <w:sz w:val="30"/>
          <w:szCs w:val="30"/>
          <w:lang w:eastAsia="zh-CN"/>
        </w:rPr>
        <w:t>已做好足够的风</w:t>
      </w:r>
      <w:r>
        <w:rPr>
          <w:rFonts w:hint="eastAsia" w:ascii="仿宋" w:hAnsi="仿宋" w:eastAsia="仿宋" w:cs="仿宋"/>
          <w:b/>
          <w:bCs/>
          <w:spacing w:val="-17"/>
          <w:sz w:val="30"/>
          <w:szCs w:val="30"/>
          <w:lang w:eastAsia="zh-CN"/>
        </w:rPr>
        <w:t>险</w:t>
      </w:r>
      <w:r>
        <w:rPr>
          <w:rFonts w:hint="eastAsia" w:ascii="仿宋" w:hAnsi="仿宋" w:eastAsia="仿宋" w:cs="仿宋"/>
          <w:b/>
          <w:bCs/>
          <w:spacing w:val="-17"/>
          <w:sz w:val="30"/>
          <w:szCs w:val="30"/>
          <w:lang w:val="en-US" w:eastAsia="zh-CN"/>
        </w:rPr>
        <w:t>控制</w:t>
      </w:r>
      <w:r>
        <w:rPr>
          <w:rFonts w:hint="eastAsia" w:ascii="仿宋" w:hAnsi="仿宋" w:eastAsia="仿宋" w:cs="仿宋"/>
          <w:b/>
          <w:bCs/>
          <w:spacing w:val="-17"/>
          <w:sz w:val="30"/>
          <w:szCs w:val="30"/>
          <w:lang w:eastAsia="zh-CN"/>
        </w:rPr>
        <w:t>与财务安排，避免因参与</w:t>
      </w:r>
      <w:r>
        <w:rPr>
          <w:rFonts w:hint="eastAsia" w:ascii="仿宋" w:hAnsi="仿宋" w:eastAsia="仿宋" w:cs="仿宋"/>
          <w:b/>
          <w:bCs/>
          <w:spacing w:val="-17"/>
          <w:sz w:val="30"/>
          <w:szCs w:val="30"/>
          <w:lang w:val="en-US" w:eastAsia="zh-CN"/>
        </w:rPr>
        <w:t>主板</w:t>
      </w:r>
      <w:r>
        <w:rPr>
          <w:rFonts w:hint="eastAsia" w:ascii="仿宋" w:hAnsi="仿宋" w:eastAsia="仿宋" w:cs="仿宋"/>
          <w:b/>
          <w:bCs/>
          <w:spacing w:val="-17"/>
          <w:sz w:val="30"/>
          <w:szCs w:val="30"/>
          <w:lang w:eastAsia="zh-CN"/>
        </w:rPr>
        <w:t>股票交易</w:t>
      </w:r>
      <w:r>
        <w:rPr>
          <w:rFonts w:hint="eastAsia" w:ascii="仿宋" w:hAnsi="仿宋" w:eastAsia="仿宋" w:cs="仿宋"/>
          <w:b/>
          <w:bCs/>
          <w:spacing w:val="-17"/>
          <w:sz w:val="30"/>
          <w:szCs w:val="30"/>
          <w:lang w:val="en-US" w:eastAsia="zh-CN"/>
        </w:rPr>
        <w:t>而</w:t>
      </w:r>
      <w:r>
        <w:rPr>
          <w:rFonts w:hint="eastAsia" w:ascii="仿宋" w:hAnsi="仿宋" w:eastAsia="仿宋" w:cs="仿宋"/>
          <w:b/>
          <w:bCs/>
          <w:spacing w:val="-17"/>
          <w:sz w:val="30"/>
          <w:szCs w:val="30"/>
          <w:lang w:eastAsia="zh-CN"/>
        </w:rPr>
        <w:t>遭受难以承受的</w:t>
      </w:r>
      <w:r>
        <w:rPr>
          <w:rFonts w:hint="eastAsia" w:ascii="仿宋" w:hAnsi="仿宋" w:eastAsia="仿宋" w:cs="仿宋"/>
          <w:b/>
          <w:bCs/>
          <w:spacing w:val="-17"/>
          <w:sz w:val="30"/>
          <w:szCs w:val="30"/>
          <w:lang w:val="en-US" w:eastAsia="zh-CN"/>
        </w:rPr>
        <w:t>风险和</w:t>
      </w:r>
      <w:r>
        <w:rPr>
          <w:rFonts w:hint="eastAsia" w:ascii="仿宋" w:hAnsi="仿宋" w:eastAsia="仿宋" w:cs="仿宋"/>
          <w:b/>
          <w:bCs/>
          <w:spacing w:val="-17"/>
          <w:sz w:val="30"/>
          <w:szCs w:val="30"/>
          <w:lang w:eastAsia="zh-CN"/>
        </w:rPr>
        <w:t>损失。</w:t>
      </w:r>
    </w:p>
    <w:p>
      <w:pPr>
        <w:pStyle w:val="6"/>
        <w:spacing w:before="48" w:line="367" w:lineRule="auto"/>
        <w:ind w:left="0" w:right="-39" w:rightChars="-13" w:firstLine="603" w:firstLineChars="213"/>
        <w:jc w:val="both"/>
        <w:rPr>
          <w:rFonts w:hint="eastAsia" w:ascii="仿宋" w:hAnsi="仿宋" w:eastAsia="仿宋" w:cs="仿宋"/>
          <w:b/>
          <w:bCs/>
          <w:sz w:val="30"/>
          <w:szCs w:val="30"/>
          <w:lang w:eastAsia="zh-CN"/>
        </w:rPr>
      </w:pPr>
      <w:r>
        <w:rPr>
          <w:rFonts w:hint="eastAsia" w:ascii="仿宋" w:hAnsi="仿宋" w:eastAsia="仿宋" w:cs="仿宋"/>
          <w:b/>
          <w:bCs/>
          <w:spacing w:val="-9"/>
          <w:sz w:val="30"/>
          <w:szCs w:val="30"/>
          <w:lang w:val="en-US" w:eastAsia="zh-CN"/>
        </w:rPr>
        <w:t>您</w:t>
      </w:r>
      <w:r>
        <w:rPr>
          <w:rFonts w:hint="eastAsia" w:ascii="仿宋" w:hAnsi="仿宋" w:eastAsia="仿宋" w:cs="仿宋"/>
          <w:b/>
          <w:bCs/>
          <w:spacing w:val="-9"/>
          <w:sz w:val="30"/>
          <w:szCs w:val="30"/>
          <w:lang w:eastAsia="zh-CN"/>
        </w:rPr>
        <w:t>在本《风险揭示书》上签字，即表明</w:t>
      </w:r>
      <w:r>
        <w:rPr>
          <w:rFonts w:hint="eastAsia" w:ascii="仿宋" w:hAnsi="仿宋" w:eastAsia="仿宋" w:cs="仿宋"/>
          <w:b/>
          <w:bCs/>
          <w:spacing w:val="-9"/>
          <w:sz w:val="30"/>
          <w:szCs w:val="30"/>
          <w:lang w:val="en-US" w:eastAsia="zh-CN"/>
        </w:rPr>
        <w:t>您</w:t>
      </w:r>
      <w:r>
        <w:rPr>
          <w:rFonts w:hint="eastAsia" w:ascii="仿宋" w:hAnsi="仿宋" w:eastAsia="仿宋" w:cs="仿宋"/>
          <w:b/>
          <w:bCs/>
          <w:spacing w:val="-9"/>
          <w:sz w:val="30"/>
          <w:szCs w:val="30"/>
          <w:lang w:eastAsia="zh-CN"/>
        </w:rPr>
        <w:t>已经理解并愿意自行承担参与</w:t>
      </w:r>
      <w:r>
        <w:rPr>
          <w:rFonts w:hint="eastAsia" w:ascii="仿宋" w:hAnsi="仿宋" w:eastAsia="仿宋" w:cs="仿宋"/>
          <w:b/>
          <w:bCs/>
          <w:spacing w:val="-9"/>
          <w:sz w:val="30"/>
          <w:szCs w:val="30"/>
          <w:lang w:val="en-US" w:eastAsia="zh-CN"/>
        </w:rPr>
        <w:t>主板</w:t>
      </w:r>
      <w:r>
        <w:rPr>
          <w:rFonts w:hint="eastAsia" w:ascii="仿宋" w:hAnsi="仿宋" w:eastAsia="仿宋" w:cs="仿宋"/>
          <w:b/>
          <w:bCs/>
          <w:spacing w:val="-9"/>
          <w:sz w:val="30"/>
          <w:szCs w:val="30"/>
          <w:lang w:eastAsia="zh-CN"/>
        </w:rPr>
        <w:t>股票交易的风险和损失。</w:t>
      </w:r>
      <w:r>
        <w:rPr>
          <w:rFonts w:hint="eastAsia" w:ascii="仿宋" w:hAnsi="仿宋" w:eastAsia="仿宋" w:cs="仿宋"/>
          <w:b/>
          <w:bCs/>
          <w:sz w:val="30"/>
          <w:szCs w:val="30"/>
          <w:lang w:eastAsia="zh-CN"/>
        </w:rPr>
        <w:t>请您务必审慎考虑，在自身风险承受能力范围内谨慎参与股票交易。</w:t>
      </w:r>
    </w:p>
    <w:p>
      <w:pPr>
        <w:pStyle w:val="6"/>
        <w:spacing w:before="48" w:line="367" w:lineRule="auto"/>
        <w:ind w:left="0" w:right="-39" w:rightChars="-13" w:firstLine="641" w:firstLineChars="213"/>
        <w:jc w:val="both"/>
        <w:rPr>
          <w:rFonts w:hint="eastAsia" w:ascii="仿宋" w:hAnsi="仿宋" w:eastAsia="仿宋" w:cs="仿宋"/>
          <w:b/>
          <w:bCs/>
          <w:sz w:val="30"/>
          <w:szCs w:val="30"/>
          <w:lang w:eastAsia="zh-CN"/>
        </w:rPr>
      </w:pPr>
    </w:p>
    <w:p>
      <w:pPr>
        <w:pStyle w:val="6"/>
        <w:spacing w:before="48" w:line="367" w:lineRule="auto"/>
        <w:ind w:left="0" w:right="-39" w:rightChars="-13" w:firstLine="641" w:firstLineChars="213"/>
        <w:jc w:val="left"/>
        <w:rPr>
          <w:rFonts w:hint="eastAsia" w:ascii="仿宋" w:hAnsi="仿宋" w:eastAsia="仿宋" w:cs="仿宋"/>
          <w:b/>
          <w:bCs/>
          <w:sz w:val="30"/>
          <w:szCs w:val="30"/>
          <w:lang w:eastAsia="zh-CN"/>
        </w:rPr>
      </w:pPr>
    </w:p>
    <w:p>
      <w:pPr>
        <w:pStyle w:val="6"/>
        <w:spacing w:before="48" w:line="367" w:lineRule="auto"/>
        <w:ind w:left="0" w:right="-39" w:rightChars="-13" w:firstLine="0"/>
        <w:rPr>
          <w:rFonts w:hint="eastAsia" w:ascii="仿宋" w:hAnsi="仿宋" w:eastAsia="仿宋" w:cs="仿宋"/>
          <w:sz w:val="30"/>
          <w:szCs w:val="30"/>
          <w:lang w:eastAsia="zh-CN"/>
        </w:rPr>
      </w:pPr>
    </w:p>
    <w:p>
      <w:pPr>
        <w:spacing w:line="600" w:lineRule="exact"/>
        <w:ind w:right="-39" w:rightChars="-13" w:firstLine="4500" w:firstLineChars="1500"/>
        <w:jc w:val="left"/>
        <w:rPr>
          <w:rFonts w:hint="eastAsia" w:ascii="仿宋" w:hAnsi="仿宋" w:eastAsia="仿宋" w:cs="仿宋"/>
          <w:kern w:val="0"/>
          <w:sz w:val="30"/>
          <w:szCs w:val="30"/>
        </w:rPr>
      </w:pPr>
      <w:r>
        <w:rPr>
          <w:rFonts w:hint="eastAsia" w:ascii="仿宋" w:hAnsi="仿宋" w:eastAsia="仿宋" w:cs="仿宋"/>
          <w:kern w:val="0"/>
          <w:sz w:val="30"/>
          <w:szCs w:val="30"/>
        </w:rPr>
        <w:t xml:space="preserve">投资者：                </w:t>
      </w:r>
    </w:p>
    <w:p>
      <w:pPr>
        <w:spacing w:line="600" w:lineRule="exact"/>
        <w:ind w:right="-39" w:rightChars="-13" w:firstLine="639" w:firstLineChars="213"/>
        <w:jc w:val="right"/>
        <w:rPr>
          <w:rFonts w:hint="eastAsia" w:ascii="仿宋" w:hAnsi="仿宋" w:eastAsia="仿宋" w:cs="仿宋"/>
          <w:kern w:val="0"/>
          <w:sz w:val="30"/>
          <w:szCs w:val="30"/>
        </w:rPr>
      </w:pPr>
    </w:p>
    <w:p>
      <w:pPr>
        <w:spacing w:line="560" w:lineRule="exact"/>
        <w:ind w:firstLine="4500" w:firstLineChars="1500"/>
      </w:pPr>
      <w:r>
        <w:rPr>
          <w:rFonts w:hint="eastAsia" w:ascii="仿宋" w:hAnsi="仿宋" w:eastAsia="仿宋" w:cs="仿宋"/>
          <w:kern w:val="0"/>
          <w:sz w:val="30"/>
          <w:szCs w:val="30"/>
        </w:rPr>
        <w:t>签署日期：    年   月   日</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00"/>
      </w:pPr>
      <w:r>
        <w:separator/>
      </w:r>
    </w:p>
  </w:endnote>
  <w:endnote w:type="continuationSeparator" w:id="1">
    <w:p>
      <w:pPr>
        <w:spacing w:line="240" w:lineRule="auto"/>
        <w:ind w:firstLine="6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00"/>
      </w:pPr>
      <w:r>
        <w:separator/>
      </w:r>
    </w:p>
  </w:footnote>
  <w:footnote w:type="continuationSeparator" w:id="1">
    <w:p>
      <w:pPr>
        <w:spacing w:line="240" w:lineRule="auto"/>
        <w:ind w:firstLine="60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jNDAzNWFhNGU1OWE0ZDQwNDc2MTcxNmU1ZjRmM2EifQ=="/>
  </w:docVars>
  <w:rsids>
    <w:rsidRoot w:val="00000000"/>
    <w:rsid w:val="04C33E81"/>
    <w:rsid w:val="09BD52BA"/>
    <w:rsid w:val="0A990FE1"/>
    <w:rsid w:val="0D3D3263"/>
    <w:rsid w:val="0EF66CEB"/>
    <w:rsid w:val="11851437"/>
    <w:rsid w:val="12A04F4F"/>
    <w:rsid w:val="1A0F3D24"/>
    <w:rsid w:val="1E7B6BA8"/>
    <w:rsid w:val="2BBB20D1"/>
    <w:rsid w:val="30A5159F"/>
    <w:rsid w:val="324E796C"/>
    <w:rsid w:val="326C67A3"/>
    <w:rsid w:val="359F0C3E"/>
    <w:rsid w:val="3B0752BB"/>
    <w:rsid w:val="45600C3B"/>
    <w:rsid w:val="4BA3672B"/>
    <w:rsid w:val="4C053F2B"/>
    <w:rsid w:val="55045B77"/>
    <w:rsid w:val="605228E4"/>
    <w:rsid w:val="6593110D"/>
    <w:rsid w:val="66AD46B9"/>
    <w:rsid w:val="6E1141A4"/>
    <w:rsid w:val="70A02B99"/>
    <w:rsid w:val="71231E90"/>
    <w:rsid w:val="71F87FE7"/>
    <w:rsid w:val="72225F5B"/>
    <w:rsid w:val="74712D5A"/>
    <w:rsid w:val="76E934EC"/>
    <w:rsid w:val="7AB41FEC"/>
    <w:rsid w:val="7DCB2C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name="Normal Indent"/>
    <w:lsdException w:unhideWhenUsed="0" w:uiPriority="0" w:semiHidden="0" w:name="footnote text"/>
    <w:lsdException w:qFormat="1" w:uiPriority="99"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600" w:firstLineChars="200"/>
      <w:jc w:val="both"/>
    </w:pPr>
    <w:rPr>
      <w:rFonts w:ascii="仿宋_GB2312" w:hAnsi="Times New Roman" w:eastAsia="仿宋_GB2312" w:cs="Times New Roman"/>
      <w:sz w:val="30"/>
      <w:szCs w:val="30"/>
      <w:lang w:val="en-US" w:eastAsia="zh-CN" w:bidi="ar-SA"/>
    </w:rPr>
  </w:style>
  <w:style w:type="paragraph" w:styleId="3">
    <w:name w:val="heading 1"/>
    <w:basedOn w:val="1"/>
    <w:next w:val="1"/>
    <w:qFormat/>
    <w:uiPriority w:val="9"/>
    <w:pPr>
      <w:spacing w:line="360" w:lineRule="auto"/>
      <w:ind w:firstLine="883"/>
      <w:jc w:val="center"/>
      <w:outlineLvl w:val="0"/>
    </w:pPr>
    <w:rPr>
      <w:rFonts w:ascii="宋体" w:hAnsi="宋体" w:eastAsia="宋体"/>
      <w:b/>
      <w:sz w:val="44"/>
      <w:szCs w:val="42"/>
    </w:rPr>
  </w:style>
  <w:style w:type="paragraph" w:styleId="4">
    <w:name w:val="heading 2"/>
    <w:basedOn w:val="3"/>
    <w:next w:val="1"/>
    <w:unhideWhenUsed/>
    <w:qFormat/>
    <w:uiPriority w:val="9"/>
    <w:pPr>
      <w:ind w:firstLine="0" w:firstLineChars="0"/>
      <w:outlineLvl w:val="1"/>
    </w:pPr>
    <w:rPr>
      <w:sz w:val="4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pPr>
  </w:style>
  <w:style w:type="paragraph" w:styleId="5">
    <w:name w:val="annotation text"/>
    <w:basedOn w:val="1"/>
    <w:semiHidden/>
    <w:unhideWhenUsed/>
    <w:qFormat/>
    <w:uiPriority w:val="99"/>
    <w:pPr>
      <w:jc w:val="left"/>
    </w:pPr>
  </w:style>
  <w:style w:type="paragraph" w:styleId="6">
    <w:name w:val="Body Text"/>
    <w:basedOn w:val="1"/>
    <w:qFormat/>
    <w:uiPriority w:val="1"/>
    <w:pPr>
      <w:autoSpaceDE w:val="0"/>
      <w:autoSpaceDN w:val="0"/>
      <w:ind w:left="118" w:firstLine="599"/>
    </w:pPr>
    <w:rPr>
      <w:rFonts w:ascii="宋体" w:hAnsi="宋体" w:cs="宋体"/>
      <w:kern w:val="0"/>
      <w:sz w:val="30"/>
      <w:szCs w:val="30"/>
      <w:lang w:eastAsia="en-US"/>
    </w:rPr>
  </w:style>
  <w:style w:type="paragraph" w:styleId="9">
    <w:name w:val="List Paragraph"/>
    <w:basedOn w:val="1"/>
    <w:qFormat/>
    <w:uiPriority w:val="34"/>
    <w:pPr>
      <w:spacing w:line="240" w:lineRule="auto"/>
      <w:ind w:firstLine="420"/>
    </w:pPr>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2451</Words>
  <Characters>2470</Characters>
  <Lines>0</Lines>
  <Paragraphs>0</Paragraphs>
  <TotalTime>1</TotalTime>
  <ScaleCrop>false</ScaleCrop>
  <LinksUpToDate>false</LinksUpToDate>
  <CharactersWithSpaces>4590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2023-02-20T08:54:00Z</dcterms:created>
  <dc:creator>lenovo</dc:creator>
  <cp:lastModifiedBy>WPS_1619683519</cp:lastModifiedBy>
  <dcterms:modified xsi:type="dcterms:W3CDTF">2023-02-27T06:32:27Z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F138CC98C9B3497E859E40A9E4E39B1A</vt:lpwstr>
  </property>
</Properties>
</file>