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6"/>
          <w:szCs w:val="36"/>
          <w:lang w:val="en-US" w:eastAsia="zh-CN"/>
        </w:rPr>
      </w:pPr>
      <w:r>
        <w:rPr>
          <w:rFonts w:hint="eastAsia" w:asciiTheme="majorEastAsia" w:hAnsiTheme="majorEastAsia" w:eastAsiaTheme="majorEastAsia"/>
          <w:b/>
          <w:sz w:val="36"/>
          <w:szCs w:val="36"/>
        </w:rPr>
        <w:t>九州证券股份有限公司产品或服务分级</w:t>
      </w:r>
      <w:r>
        <w:rPr>
          <w:rFonts w:hint="eastAsia" w:asciiTheme="majorEastAsia" w:hAnsiTheme="majorEastAsia" w:eastAsiaTheme="majorEastAsia"/>
          <w:b/>
          <w:sz w:val="36"/>
          <w:szCs w:val="36"/>
          <w:lang w:val="en-US" w:eastAsia="zh-CN"/>
        </w:rPr>
        <w:t>说明</w:t>
      </w:r>
    </w:p>
    <w:p>
      <w:pPr>
        <w:jc w:val="center"/>
        <w:rPr>
          <w:rFonts w:hint="eastAsia" w:asciiTheme="majorEastAsia" w:hAnsiTheme="majorEastAsia" w:eastAsiaTheme="majorEastAsia"/>
          <w:b w:val="0"/>
          <w:bCs/>
          <w:sz w:val="21"/>
          <w:szCs w:val="21"/>
          <w:lang w:val="en-US" w:eastAsia="zh-CN"/>
        </w:rPr>
      </w:pPr>
      <w:r>
        <w:rPr>
          <w:rFonts w:hint="eastAsia" w:asciiTheme="majorEastAsia" w:hAnsiTheme="majorEastAsia" w:eastAsiaTheme="majorEastAsia"/>
          <w:b w:val="0"/>
          <w:bCs/>
          <w:sz w:val="21"/>
          <w:szCs w:val="21"/>
          <w:lang w:val="en-US" w:eastAsia="zh-CN"/>
        </w:rPr>
        <w:t>（《九州证券股份有限公司投资者适当性管理办法》第四章）</w:t>
      </w:r>
    </w:p>
    <w:p>
      <w:pPr>
        <w:jc w:val="center"/>
        <w:rPr>
          <w:rFonts w:ascii="黑体" w:hAnsi="黑体" w:eastAsia="黑体"/>
          <w:b/>
          <w:sz w:val="36"/>
          <w:szCs w:val="36"/>
        </w:rPr>
      </w:pPr>
    </w:p>
    <w:p>
      <w:pPr>
        <w:pStyle w:val="2"/>
        <w:pageBreakBefore w:val="0"/>
        <w:kinsoku/>
        <w:wordWrap/>
        <w:overflowPunct/>
        <w:topLinePunct w:val="0"/>
        <w:bidi w:val="0"/>
        <w:snapToGrid/>
        <w:spacing w:before="0" w:beforeAutospacing="0" w:after="0" w:afterAutospacing="0" w:line="360" w:lineRule="auto"/>
        <w:ind w:left="420"/>
        <w:jc w:val="center"/>
        <w:textAlignment w:val="auto"/>
        <w:rPr>
          <w:rFonts w:ascii="黑体" w:hAnsi="黑体" w:eastAsia="黑体"/>
          <w:sz w:val="30"/>
          <w:szCs w:val="30"/>
        </w:rPr>
      </w:pPr>
      <w:r>
        <w:rPr>
          <w:rFonts w:hint="eastAsia" w:ascii="黑体" w:hAnsi="黑体" w:eastAsia="黑体"/>
          <w:bCs w:val="0"/>
          <w:sz w:val="30"/>
          <w:szCs w:val="30"/>
        </w:rPr>
        <w:t>第四章</w:t>
      </w:r>
      <w:r>
        <w:rPr>
          <w:rFonts w:ascii="黑体" w:hAnsi="黑体" w:eastAsia="黑体"/>
          <w:bCs w:val="0"/>
          <w:sz w:val="30"/>
          <w:szCs w:val="30"/>
        </w:rPr>
        <w:t> </w:t>
      </w:r>
      <w:r>
        <w:rPr>
          <w:rFonts w:hint="eastAsia" w:ascii="黑体" w:hAnsi="黑体" w:eastAsia="黑体"/>
          <w:bCs w:val="0"/>
          <w:sz w:val="30"/>
          <w:szCs w:val="30"/>
        </w:rPr>
        <w:t xml:space="preserve"> 金融产品或服务分级依据、方法及流程</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黑体" w:hAnsi="黑体" w:eastAsia="黑体" w:cs="Times New Roman"/>
          <w:b/>
          <w:kern w:val="2"/>
          <w:sz w:val="30"/>
          <w:szCs w:val="30"/>
          <w:lang w:val="en-US" w:eastAsia="zh-CN"/>
        </w:rPr>
      </w:pPr>
      <w:r>
        <w:rPr>
          <w:rFonts w:hint="eastAsia" w:ascii="黑体" w:hAnsi="黑体" w:eastAsia="黑体" w:cs="Times New Roman"/>
          <w:b/>
          <w:color w:val="auto"/>
          <w:kern w:val="2"/>
          <w:sz w:val="30"/>
          <w:szCs w:val="30"/>
        </w:rPr>
        <w:t>第</w:t>
      </w:r>
      <w:r>
        <w:rPr>
          <w:rFonts w:hint="eastAsia" w:ascii="黑体" w:hAnsi="黑体" w:eastAsia="黑体" w:cs="Times New Roman"/>
          <w:b/>
          <w:color w:val="auto"/>
          <w:kern w:val="2"/>
          <w:sz w:val="30"/>
          <w:szCs w:val="30"/>
          <w:lang w:val="en-US" w:eastAsia="zh-CN"/>
        </w:rPr>
        <w:t>二十九</w:t>
      </w:r>
      <w:r>
        <w:rPr>
          <w:rFonts w:hint="eastAsia" w:ascii="黑体" w:hAnsi="黑体" w:eastAsia="黑体" w:cs="Times New Roman"/>
          <w:b/>
          <w:color w:val="auto"/>
          <w:kern w:val="2"/>
          <w:sz w:val="30"/>
          <w:szCs w:val="30"/>
        </w:rPr>
        <w:t>条</w:t>
      </w:r>
      <w:r>
        <w:rPr>
          <w:rFonts w:hint="eastAsia" w:ascii="黑体" w:hAnsi="黑体" w:eastAsia="黑体" w:cs="Times New Roman"/>
          <w:b/>
          <w:color w:val="auto"/>
          <w:kern w:val="2"/>
          <w:sz w:val="30"/>
          <w:szCs w:val="30"/>
          <w:lang w:val="en-US" w:eastAsia="zh-CN"/>
        </w:rPr>
        <w:t xml:space="preserve"> </w:t>
      </w:r>
      <w:r>
        <w:rPr>
          <w:rFonts w:hint="eastAsia" w:ascii="黑体" w:hAnsi="黑体" w:eastAsia="黑体" w:cs="Times New Roman"/>
          <w:b/>
          <w:kern w:val="2"/>
          <w:sz w:val="30"/>
          <w:szCs w:val="30"/>
          <w:lang w:val="en-US" w:eastAsia="zh-CN"/>
        </w:rPr>
        <w:t xml:space="preserve"> </w:t>
      </w:r>
      <w:r>
        <w:rPr>
          <w:rFonts w:hint="eastAsia" w:ascii="仿宋" w:hAnsi="仿宋" w:eastAsia="仿宋" w:cs="宋体"/>
          <w:b w:val="0"/>
          <w:color w:val="000000"/>
          <w:kern w:val="0"/>
          <w:sz w:val="30"/>
          <w:szCs w:val="30"/>
          <w:lang w:val="en-US" w:eastAsia="zh-CN"/>
        </w:rPr>
        <w:t>产品或服务分级是指通过了解所销售产品或者所提供服务的信息，根据风险特征和程度，对销售的产品或者提供的服务划分风险等级的过程。</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b w:val="0"/>
          <w:color w:val="000000"/>
          <w:kern w:val="0"/>
          <w:sz w:val="30"/>
          <w:szCs w:val="30"/>
          <w:lang w:val="en-US" w:eastAsia="zh-CN"/>
        </w:rPr>
        <w:t>公司</w:t>
      </w:r>
      <w:r>
        <w:rPr>
          <w:rFonts w:hint="eastAsia" w:ascii="仿宋" w:hAnsi="仿宋" w:eastAsia="仿宋" w:cs="宋体"/>
          <w:color w:val="000000"/>
          <w:kern w:val="0"/>
          <w:sz w:val="30"/>
          <w:szCs w:val="30"/>
        </w:rPr>
        <w:t>各业务条线对产品或服务进行分级时，应以保护投资者利益为中心，全面贯彻审慎性、独立性、客观性、科学性、全面性和可持续性原则，并严格落实评估与销售隔离制度。</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公司各业务条线应当根据本办法及相关法律、法规、规则、公司内部规章制度</w:t>
      </w:r>
      <w:r>
        <w:rPr>
          <w:rFonts w:hint="eastAsia" w:ascii="仿宋" w:hAnsi="仿宋" w:eastAsia="仿宋" w:cs="宋体"/>
          <w:color w:val="000000"/>
          <w:kern w:val="0"/>
          <w:sz w:val="30"/>
          <w:szCs w:val="30"/>
          <w:lang w:eastAsia="zh-CN"/>
        </w:rPr>
        <w:t>建立</w:t>
      </w:r>
      <w:r>
        <w:rPr>
          <w:rFonts w:hint="eastAsia" w:ascii="仿宋" w:hAnsi="仿宋" w:eastAsia="仿宋" w:cs="宋体"/>
          <w:color w:val="000000"/>
          <w:kern w:val="0"/>
          <w:sz w:val="30"/>
          <w:szCs w:val="30"/>
        </w:rPr>
        <w:t>本单位的产品或服务分级</w:t>
      </w:r>
      <w:r>
        <w:rPr>
          <w:rFonts w:hint="eastAsia" w:ascii="仿宋" w:hAnsi="仿宋" w:eastAsia="仿宋" w:cs="宋体"/>
          <w:color w:val="000000"/>
          <w:kern w:val="0"/>
          <w:sz w:val="30"/>
          <w:szCs w:val="30"/>
          <w:lang w:eastAsia="zh-CN"/>
        </w:rPr>
        <w:t>机制</w:t>
      </w:r>
      <w:r>
        <w:rPr>
          <w:rFonts w:hint="eastAsia" w:ascii="仿宋" w:hAnsi="仿宋" w:eastAsia="仿宋" w:cs="宋体"/>
          <w:color w:val="000000"/>
          <w:kern w:val="0"/>
          <w:sz w:val="30"/>
          <w:szCs w:val="30"/>
        </w:rPr>
        <w:t>，并根据监管要求及时更新。</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各业务条线应将产品或服务分级方法及其说明，以适当的方式向投资者公开，并向投资者提供风险等级划分名录。</w:t>
      </w:r>
    </w:p>
    <w:p>
      <w:pPr>
        <w:pageBreakBefore w:val="0"/>
        <w:widowControl/>
        <w:kinsoku/>
        <w:wordWrap/>
        <w:overflowPunct/>
        <w:topLinePunct w:val="0"/>
        <w:bidi w:val="0"/>
        <w:snapToGrid/>
        <w:spacing w:beforeAutospacing="0" w:afterAutospacing="0" w:line="360" w:lineRule="auto"/>
        <w:ind w:firstLine="602" w:firstLineChars="200"/>
        <w:jc w:val="center"/>
        <w:textAlignment w:val="auto"/>
        <w:rPr>
          <w:rFonts w:hint="eastAsia" w:ascii="黑体" w:hAnsi="黑体" w:eastAsia="黑体" w:cs="Times New Roman"/>
          <w:b/>
          <w:bCs/>
          <w:color w:val="auto"/>
          <w:kern w:val="44"/>
          <w:sz w:val="30"/>
          <w:szCs w:val="30"/>
        </w:rPr>
      </w:pPr>
      <w:r>
        <w:rPr>
          <w:rFonts w:hint="eastAsia" w:ascii="黑体" w:hAnsi="黑体" w:eastAsia="黑体" w:cs="Times New Roman"/>
          <w:b/>
          <w:bCs/>
          <w:color w:val="auto"/>
          <w:kern w:val="44"/>
          <w:sz w:val="30"/>
          <w:szCs w:val="30"/>
        </w:rPr>
        <w:t>第</w:t>
      </w:r>
      <w:r>
        <w:rPr>
          <w:rFonts w:hint="eastAsia" w:ascii="黑体" w:hAnsi="黑体" w:eastAsia="黑体" w:cs="Times New Roman"/>
          <w:b/>
          <w:bCs/>
          <w:color w:val="auto"/>
          <w:kern w:val="44"/>
          <w:sz w:val="30"/>
          <w:szCs w:val="30"/>
          <w:lang w:val="en-US" w:eastAsia="zh-CN"/>
        </w:rPr>
        <w:t>一节</w:t>
      </w:r>
      <w:r>
        <w:rPr>
          <w:rFonts w:hint="eastAsia" w:ascii="黑体" w:hAnsi="黑体" w:eastAsia="黑体" w:cs="Times New Roman"/>
          <w:b/>
          <w:bCs/>
          <w:kern w:val="44"/>
          <w:sz w:val="30"/>
          <w:szCs w:val="30"/>
          <w:lang w:val="en-US" w:eastAsia="zh-CN"/>
        </w:rPr>
        <w:t xml:space="preserve">  </w:t>
      </w:r>
      <w:r>
        <w:rPr>
          <w:rFonts w:hint="eastAsia" w:ascii="黑体" w:hAnsi="黑体" w:eastAsia="黑体" w:cs="Times New Roman"/>
          <w:b/>
          <w:bCs/>
          <w:color w:val="auto"/>
          <w:kern w:val="44"/>
          <w:sz w:val="30"/>
          <w:szCs w:val="30"/>
        </w:rPr>
        <w:t>分级流程</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三十一</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公司产品或服务评审委员会通过线下评审会议或OA分级流程对产品或服务进行分级。OA分级流程是对线下评审会议流程的电子化，遵循线下评审会议的有关规定，并与线下评审会议具有同等效力。</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三十二</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评审会议由业务主管部门申请，法律合规部协调组织，其他评审委员会部门按要求参加。所有委员会成员必须参加评审会，因故不能参加的委员会成员，应指定专人代为参加，并由代理人参与表决，表决结果视为被代理人意见，并由被代理人对表决结果负责。</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三十三</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评审会议实行表决制，超过三分之二（含）同意，视为审议通过。</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三十四</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产品或服务评估分级应经过评审委员会评审程序，得出公司产品或服务评估分级对应的结果。具体程序为：</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（一）业务主管部门负责制定了解产品或服务的标准、程序和方法，并对产品或服务信息进行了解；</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（二）业务主管部门根据了解到的产品或服务的信息，填写《普通产品或服务风险等级评估表》</w:t>
      </w:r>
      <w:r>
        <w:rPr>
          <w:rFonts w:hint="eastAsia" w:ascii="仿宋" w:hAnsi="仿宋" w:eastAsia="仿宋" w:cs="宋体"/>
          <w:color w:val="000000"/>
          <w:kern w:val="0"/>
          <w:sz w:val="30"/>
          <w:szCs w:val="30"/>
          <w:lang w:eastAsia="zh-CN"/>
        </w:rPr>
        <w:t>（附件</w:t>
      </w:r>
      <w:r>
        <w:rPr>
          <w:rFonts w:hint="eastAsia" w:ascii="仿宋" w:hAnsi="仿宋" w:eastAsia="仿宋" w:cs="宋体"/>
          <w:color w:val="000000"/>
          <w:kern w:val="0"/>
          <w:sz w:val="30"/>
          <w:szCs w:val="30"/>
          <w:lang w:val="en-US" w:eastAsia="zh-CN"/>
        </w:rPr>
        <w:t>1）</w:t>
      </w:r>
      <w:r>
        <w:rPr>
          <w:rFonts w:hint="eastAsia" w:ascii="仿宋" w:hAnsi="仿宋" w:eastAsia="仿宋" w:cs="宋体"/>
          <w:color w:val="000000"/>
          <w:kern w:val="0"/>
          <w:sz w:val="30"/>
          <w:szCs w:val="30"/>
        </w:rPr>
        <w:t>或《基金产品或服务风险等级评估表》</w:t>
      </w:r>
      <w:r>
        <w:rPr>
          <w:rFonts w:hint="eastAsia" w:ascii="仿宋" w:hAnsi="仿宋" w:eastAsia="仿宋" w:cs="宋体"/>
          <w:color w:val="000000"/>
          <w:kern w:val="0"/>
          <w:sz w:val="30"/>
          <w:szCs w:val="30"/>
          <w:lang w:eastAsia="zh-CN"/>
        </w:rPr>
        <w:t>（附件</w:t>
      </w:r>
      <w:r>
        <w:rPr>
          <w:rFonts w:hint="eastAsia" w:ascii="仿宋" w:hAnsi="仿宋" w:eastAsia="仿宋" w:cs="宋体"/>
          <w:color w:val="000000"/>
          <w:kern w:val="0"/>
          <w:sz w:val="30"/>
          <w:szCs w:val="30"/>
          <w:lang w:val="en-US" w:eastAsia="zh-CN"/>
        </w:rPr>
        <w:t>3）</w:t>
      </w:r>
      <w:r>
        <w:rPr>
          <w:rFonts w:hint="eastAsia" w:ascii="仿宋" w:hAnsi="仿宋" w:eastAsia="仿宋" w:cs="宋体"/>
          <w:color w:val="000000"/>
          <w:kern w:val="0"/>
          <w:sz w:val="30"/>
          <w:szCs w:val="30"/>
        </w:rPr>
        <w:t>，对产品或服务的风险等级进行初评；</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（三）初评结束后，需召开评审委员会会议对产品或服务的风险等级进行复评；</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（四）复评结束后，由业务主管部门将产品或服务的风险等级通知信息技术部门在系统中进行设定。</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三十五</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风险等级匹配仅为产品或服务适当性管理的其中一个环节，除此之外，还需要同时符合准入标准等要求。</w:t>
      </w:r>
    </w:p>
    <w:p>
      <w:pPr>
        <w:pageBreakBefore w:val="0"/>
        <w:widowControl/>
        <w:kinsoku/>
        <w:wordWrap/>
        <w:overflowPunct/>
        <w:topLinePunct w:val="0"/>
        <w:bidi w:val="0"/>
        <w:snapToGrid/>
        <w:spacing w:beforeAutospacing="0" w:afterAutospacing="0" w:line="360" w:lineRule="auto"/>
        <w:ind w:firstLine="602" w:firstLineChars="200"/>
        <w:jc w:val="center"/>
        <w:textAlignment w:val="auto"/>
        <w:rPr>
          <w:rFonts w:hint="eastAsia" w:ascii="黑体" w:hAnsi="黑体" w:eastAsia="黑体" w:cs="Times New Roman"/>
          <w:b/>
          <w:bCs/>
          <w:color w:val="auto"/>
          <w:kern w:val="44"/>
          <w:sz w:val="30"/>
          <w:szCs w:val="30"/>
        </w:rPr>
      </w:pPr>
      <w:r>
        <w:rPr>
          <w:rFonts w:hint="eastAsia" w:ascii="黑体" w:hAnsi="黑体" w:eastAsia="黑体" w:cs="Times New Roman"/>
          <w:b/>
          <w:bCs/>
          <w:color w:val="auto"/>
          <w:kern w:val="44"/>
          <w:sz w:val="30"/>
          <w:szCs w:val="30"/>
        </w:rPr>
        <w:t>第</w:t>
      </w:r>
      <w:r>
        <w:rPr>
          <w:rFonts w:hint="eastAsia" w:ascii="黑体" w:hAnsi="黑体" w:eastAsia="黑体" w:cs="Times New Roman"/>
          <w:b/>
          <w:bCs/>
          <w:kern w:val="44"/>
          <w:sz w:val="30"/>
          <w:szCs w:val="30"/>
          <w:lang w:val="en-US" w:eastAsia="zh-CN"/>
        </w:rPr>
        <w:t xml:space="preserve">二节  </w:t>
      </w:r>
      <w:r>
        <w:rPr>
          <w:rFonts w:hint="eastAsia" w:ascii="黑体" w:hAnsi="黑体" w:eastAsia="黑体" w:cs="Times New Roman"/>
          <w:b/>
          <w:bCs/>
          <w:color w:val="auto"/>
          <w:kern w:val="44"/>
          <w:sz w:val="30"/>
          <w:szCs w:val="30"/>
        </w:rPr>
        <w:t>普通产品或服务的分级依据</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三十六</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公司将适用于中国证券业协会《证券经营机构投资者适当性管理实施指引（试行）》的产品或服务定义为“普通产品或服务”，通过科学、合理的方法对产品或服务进行综合评估，确定其风险等级。</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各业务条线制作普通产品或服务风险等级评估表，根据普通产品或服务的评估因素与普通产品或服务风险等级的相关性，确定各项评估因素的分值和权重，建立评估分值与普通产品或服务风险等级的对应关系。</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三十七</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划分普通产品或者服务风险等级时应当综合考虑以下一般评估因素：</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（一）流动性；</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（二）到期时限；</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（三）杠杆情况；</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（四）结构复杂性；</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（五）投资单位产品或者相关服务的最低金额；</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（六）投资方向和投资范围；</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（七）募集方式；</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（八）发行人等相关主体的信用状况；</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（九）同类产品或者服务过往业绩；</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（十）其他因素。</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涉及投资组合的普通产品或者服务，应当按照产品或者服务整体风险等级进行评估。</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三十八</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普通产品或者服务存在下列因素的，应当审慎评估其风险等级：</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（一）存在本金损失的可能性，因杠杆交易等因素容易导致本金大部分或者全部损失的产品或者服务；</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（二）产品或者服务的流动变现能力，因无公开交易市场、参与投资者少等因素导致难以在短期内以合理价格顺利变现的产品或者服务；</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（三）产品或者服务的可理解性，因结构复杂、不易估值等因素导致普通人难以理解其条款和特征的产品或者服务；</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（四）产品或者服务的募集方式，涉及面广、影响力大的公募产品或者相关服务；</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（五）产品或者服务的跨境因素，存在市场差异、适用境外法律等情形的跨境发行或者交易的产品或者服务；</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（六）自律组织认定的高风险产品或者服务；</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（七）其他有可能构成投资风险的因素。</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三十九</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公司将普通产品或服务风险等级由低至高至少划分为五级,分别为：低风险（R1）、中低风险（R2）、中风险（R3）、中高风险（R4）、高风险（R5）。</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各业务条线应当根据《普通产品或服务风险等级名录》</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lang w:val="en-US" w:eastAsia="zh-CN"/>
        </w:rPr>
        <w:t>附件2</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rPr>
        <w:t>列出各自条线相对应的产品或服务清单。</w:t>
      </w:r>
    </w:p>
    <w:p>
      <w:pPr>
        <w:pageBreakBefore w:val="0"/>
        <w:widowControl/>
        <w:kinsoku/>
        <w:wordWrap/>
        <w:overflowPunct/>
        <w:topLinePunct w:val="0"/>
        <w:bidi w:val="0"/>
        <w:snapToGrid/>
        <w:spacing w:beforeAutospacing="0" w:afterAutospacing="0" w:line="360" w:lineRule="auto"/>
        <w:ind w:firstLine="602" w:firstLineChars="200"/>
        <w:jc w:val="center"/>
        <w:textAlignment w:val="auto"/>
        <w:rPr>
          <w:rFonts w:hint="eastAsia" w:ascii="黑体" w:hAnsi="黑体" w:eastAsia="黑体" w:cs="Times New Roman"/>
          <w:b/>
          <w:bCs/>
          <w:color w:val="auto"/>
          <w:kern w:val="44"/>
          <w:sz w:val="30"/>
          <w:szCs w:val="30"/>
        </w:rPr>
      </w:pPr>
      <w:r>
        <w:rPr>
          <w:rFonts w:hint="eastAsia" w:ascii="黑体" w:hAnsi="黑体" w:eastAsia="黑体" w:cs="Times New Roman"/>
          <w:b/>
          <w:bCs/>
          <w:color w:val="auto"/>
          <w:kern w:val="44"/>
          <w:sz w:val="30"/>
          <w:szCs w:val="30"/>
        </w:rPr>
        <w:t>第</w:t>
      </w:r>
      <w:r>
        <w:rPr>
          <w:rFonts w:hint="eastAsia" w:ascii="黑体" w:hAnsi="黑体" w:eastAsia="黑体" w:cs="Times New Roman"/>
          <w:b/>
          <w:bCs/>
          <w:kern w:val="44"/>
          <w:sz w:val="30"/>
          <w:szCs w:val="30"/>
          <w:lang w:val="en-US" w:eastAsia="zh-CN"/>
        </w:rPr>
        <w:t xml:space="preserve">三节  </w:t>
      </w:r>
      <w:r>
        <w:rPr>
          <w:rFonts w:hint="eastAsia" w:ascii="黑体" w:hAnsi="黑体" w:eastAsia="黑体" w:cs="Times New Roman"/>
          <w:b/>
          <w:bCs/>
          <w:color w:val="auto"/>
          <w:kern w:val="44"/>
          <w:sz w:val="30"/>
          <w:szCs w:val="30"/>
        </w:rPr>
        <w:t>基金产品或服务的分级依据</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四十一</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公司将适用于中国证券投资基金业协会《基金募集机构投资者适当性管理实施指引（试行）》的产品或服务定义为“基金产品或服务”。</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四十二</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公司对基金产品或者服务的风险等级划分，可以由公司完成，也可以委托第三方机构提供。</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委托第三方机构提供基金产品或者服务风险等级划分的，公司应当要求其提供基金产品或者服务风险等级划分方法及其说明。</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各业务条线落实适当性义务不因委托第三方而免除。</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四十三</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各业务条线对基金产品或者服务进行风险等级划分，应当至少了解以下信息：</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（一）基金管理人的诚信状况、经营管理能力、投资管理能力、内部控制情况、合法合规情况。</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（二）基金产品或者服务的合法合规情况，发行方式，类型及组织形式，托管情况，投资范围、投资策略和投资限制概况，业绩比较基准，收益与风险的匹配情况，投资者承担的主要费用及费率。</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四十四</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基金产品或者服务风险等级划分应当综合考虑以下因素：</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一）基金管理人成立时间，治理结构，资本金规模，管理基金规模，投研团队稳定性，资产配置能力、内部控制制度健全性及执行度，风险控制完备性，是否有风险准备金制度安排，从业人员合规性，股东、高级管理人员及基金经理的稳定性等。</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二）基金产品或者服务的构架（母子基金、平行基金），投资方向、投资范围和投资比例，募集方式及最低认缴金额，运作方式，存续期限，过往业绩及净值的历史波动程度，成立以来有无违规行为发生，基金估值政策、程序和定价模式，申购和赎回安排，杠杆运用情况等。</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涉及投资组合的基金产品或者服务，应当按照基金产品或者服务整体风险等级进行评估。</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四十五</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基金产品或者服务存在下列因素的，应当审慎评估其风险等级：</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（一）基金产品或者服务合同表述复杂，存在免责条款、结构性安排、投资标的具有衍生品性质等导致普通投资者难以理解的；</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（二）基金产品或者服务不存在公开交易市场，或因参与投资者少等因素导致难以在短期内以合理价格顺利变现的；</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（三）基金产品或者服务的投资标的流动性差、存在非标准资产投资导致不易估值的；</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（四）基金产品或者服务投资杠杆达到相关要求上限、投资单一标的集中度过高的；</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（五）基金管理人、实际控制人、高管人员涉嫌重大违法违规行为或正在接受监管部门或自律管理部门调查的；</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（六）影响投资者利益的其他重大事项；</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（七）协会认定的高风险基金产品或者服务。</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四十六</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基金产品或者服务的风险等级按照风险由低到高顺序，分为低风险（R1）、中低风险（R2）、中风险（R3）、中高风险（R4）、高风险（R5）五个等级。</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default"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rPr>
        <w:t>各业务条线可以根据实际情况在前款所列等级的基础上进一步进行风险细分。</w:t>
      </w:r>
      <w:r>
        <w:rPr>
          <w:rFonts w:hint="eastAsia" w:ascii="仿宋" w:hAnsi="仿宋" w:eastAsia="仿宋" w:cs="宋体"/>
          <w:color w:val="000000"/>
          <w:kern w:val="0"/>
          <w:sz w:val="30"/>
          <w:szCs w:val="30"/>
          <w:highlight w:val="none"/>
          <w:lang w:val="en-US" w:eastAsia="zh-CN"/>
        </w:rPr>
        <w:t>代销证券投资基金等产品或服务风险评级有特殊规定的，依据公司特殊规定执行。</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四十七</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各业务条线应当根据《基金产品或服务风险等级划分参考标准》</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lang w:val="en-US" w:eastAsia="zh-CN"/>
        </w:rPr>
        <w:t>附件4</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rPr>
        <w:t>列出各自条线相对应的产品或服务清单。</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四十八</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各业务条线销售的基金产品或者服务信息发生变化的，要及时依据基金产品或者服务风险等级划分参考标准，重新评估其风险等级。各业务条线还要建立长效机制，对基金产品或者服务的风险定期进行评价更新。</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四十九</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各业务条线可以通过定量和定性相结合的方法对基金产品或者服务进行风险分级。</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各业务条线可以根据基金产品或者服务风险因素与风险等级的相关性，确定各项评估因素的分值和权重，建立评估分值与基金产品风险等级的</w:t>
      </w:r>
      <w:bookmarkStart w:id="0" w:name="_GoBack"/>
      <w:bookmarkEnd w:id="0"/>
      <w:r>
        <w:rPr>
          <w:rFonts w:hint="eastAsia" w:ascii="仿宋" w:hAnsi="仿宋" w:eastAsia="仿宋" w:cs="宋体"/>
          <w:color w:val="000000"/>
          <w:kern w:val="0"/>
          <w:sz w:val="30"/>
          <w:szCs w:val="30"/>
        </w:rPr>
        <w:t>对应关系。</w:t>
      </w:r>
    </w:p>
    <w:p>
      <w:pPr>
        <w:widowControl/>
        <w:numPr>
          <w:ilvl w:val="-1"/>
          <w:numId w:val="0"/>
        </w:numPr>
        <w:spacing w:line="360" w:lineRule="auto"/>
        <w:ind w:left="0" w:leftChars="0" w:firstLine="600" w:firstLineChars="20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各业务条线通过定量分析对基金产品进行风险分级时，可以运用贝塔系数、标准差、风险在险值等风险指标体系，划分基金的期限风险、流动性风险、波动性风险等。</w:t>
      </w:r>
    </w:p>
    <w:p>
      <w:pPr>
        <w:pStyle w:val="16"/>
        <w:tabs>
          <w:tab w:val="left" w:pos="0"/>
        </w:tabs>
        <w:spacing w:line="600" w:lineRule="exact"/>
        <w:ind w:left="567" w:firstLine="0" w:firstLineChars="0"/>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rPr>
          <w:rFonts w:ascii="宋体" w:hAnsi="宋体"/>
          <w:b/>
          <w:sz w:val="24"/>
        </w:rPr>
      </w:pPr>
      <w:r>
        <w:rPr>
          <w:rFonts w:hint="eastAsia" w:ascii="宋体" w:hAnsi="宋体"/>
          <w:b/>
          <w:sz w:val="24"/>
        </w:rPr>
        <w:t>附件1：</w:t>
      </w:r>
    </w:p>
    <w:p>
      <w:pPr>
        <w:spacing w:line="240" w:lineRule="atLeast"/>
        <w:jc w:val="center"/>
        <w:rPr>
          <w:rFonts w:ascii="宋体" w:hAnsi="宋体"/>
          <w:b/>
          <w:sz w:val="24"/>
        </w:rPr>
      </w:pPr>
      <w:r>
        <w:rPr>
          <w:rFonts w:hint="eastAsia" w:ascii="宋体" w:hAnsi="宋体"/>
          <w:b/>
          <w:sz w:val="24"/>
        </w:rPr>
        <w:t>普通产品或服务风险等级评估表</w:t>
      </w:r>
    </w:p>
    <w:p>
      <w:pPr>
        <w:spacing w:line="240" w:lineRule="atLeast"/>
        <w:rPr>
          <w:rFonts w:ascii="宋体" w:hAnsi="宋体"/>
          <w:sz w:val="24"/>
        </w:rPr>
      </w:pPr>
    </w:p>
    <w:p>
      <w:pPr>
        <w:spacing w:line="240" w:lineRule="atLeast"/>
        <w:ind w:firstLine="480" w:firstLineChars="200"/>
        <w:rPr>
          <w:rFonts w:ascii="宋体" w:hAnsi="宋体"/>
          <w:sz w:val="24"/>
        </w:rPr>
      </w:pPr>
      <w:r>
        <w:rPr>
          <w:rFonts w:hint="eastAsia" w:ascii="宋体" w:hAnsi="宋体"/>
          <w:sz w:val="24"/>
        </w:rPr>
        <w:t>本表仅供公司内部使用。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50"/>
        <w:gridCol w:w="3545"/>
        <w:gridCol w:w="709"/>
        <w:gridCol w:w="708"/>
        <w:gridCol w:w="709"/>
        <w:gridCol w:w="9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D9D9D9"/>
          </w:tcPr>
          <w:p>
            <w:pPr>
              <w:spacing w:line="240" w:lineRule="atLeast"/>
              <w:rPr>
                <w:rFonts w:ascii="宋体" w:hAnsi="宋体"/>
                <w:szCs w:val="21"/>
              </w:rPr>
            </w:pPr>
            <w:r>
              <w:rPr>
                <w:rFonts w:hint="eastAsia" w:ascii="宋体" w:hAnsi="宋体"/>
                <w:szCs w:val="21"/>
              </w:rPr>
              <w:t>产品或服务名称及编号</w:t>
            </w:r>
          </w:p>
        </w:tc>
        <w:tc>
          <w:tcPr>
            <w:tcW w:w="6572" w:type="dxa"/>
            <w:gridSpan w:val="5"/>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D9D9D9"/>
          </w:tcPr>
          <w:p>
            <w:pPr>
              <w:spacing w:line="240" w:lineRule="atLeast"/>
              <w:rPr>
                <w:rFonts w:ascii="宋体" w:hAnsi="宋体"/>
                <w:szCs w:val="21"/>
              </w:rPr>
            </w:pPr>
            <w:r>
              <w:rPr>
                <w:rFonts w:hint="eastAsia" w:ascii="宋体" w:hAnsi="宋体"/>
                <w:szCs w:val="21"/>
              </w:rPr>
              <w:t>提请评估产品或服务的部门</w:t>
            </w:r>
          </w:p>
        </w:tc>
        <w:tc>
          <w:tcPr>
            <w:tcW w:w="6572" w:type="dxa"/>
            <w:gridSpan w:val="5"/>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D9D9D9"/>
          </w:tcPr>
          <w:p>
            <w:pPr>
              <w:spacing w:line="240" w:lineRule="atLeast"/>
              <w:rPr>
                <w:rFonts w:ascii="宋体" w:hAnsi="宋体"/>
                <w:szCs w:val="21"/>
              </w:rPr>
            </w:pPr>
            <w:r>
              <w:rPr>
                <w:rFonts w:hint="eastAsia" w:ascii="宋体" w:hAnsi="宋体"/>
                <w:szCs w:val="21"/>
              </w:rPr>
              <w:t>产品或服务是否由本公司发行</w:t>
            </w:r>
          </w:p>
        </w:tc>
        <w:tc>
          <w:tcPr>
            <w:tcW w:w="6572" w:type="dxa"/>
            <w:gridSpan w:val="5"/>
          </w:tcPr>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 是，发行部门为【   】</w:t>
            </w:r>
          </w:p>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 否，系代销【机构名称】提供的产品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D9D9D9"/>
          </w:tcPr>
          <w:p>
            <w:pPr>
              <w:spacing w:line="240" w:lineRule="atLeast"/>
              <w:rPr>
                <w:rFonts w:ascii="宋体" w:hAnsi="宋体"/>
                <w:szCs w:val="21"/>
              </w:rPr>
            </w:pPr>
            <w:r>
              <w:rPr>
                <w:rFonts w:hint="eastAsia" w:ascii="宋体" w:hAnsi="宋体"/>
                <w:szCs w:val="21"/>
              </w:rPr>
              <w:t>是否为复杂或高风险金融产品</w:t>
            </w:r>
          </w:p>
        </w:tc>
        <w:tc>
          <w:tcPr>
            <w:tcW w:w="6572" w:type="dxa"/>
            <w:gridSpan w:val="5"/>
            <w:tcBorders>
              <w:bottom w:val="single" w:color="auto" w:sz="6" w:space="0"/>
            </w:tcBorders>
          </w:tcPr>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 是</w:t>
            </w:r>
          </w:p>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restart"/>
            <w:shd w:val="clear" w:color="auto" w:fill="D9D9D9"/>
            <w:vAlign w:val="center"/>
          </w:tcPr>
          <w:p>
            <w:pPr>
              <w:spacing w:line="240" w:lineRule="atLeast"/>
              <w:jc w:val="left"/>
              <w:rPr>
                <w:rFonts w:ascii="宋体" w:hAnsi="宋体"/>
                <w:szCs w:val="21"/>
              </w:rPr>
            </w:pPr>
            <w:r>
              <w:rPr>
                <w:rFonts w:hint="eastAsia" w:ascii="宋体" w:hAnsi="宋体"/>
                <w:szCs w:val="21"/>
              </w:rPr>
              <w:t>评估因素及得分</w:t>
            </w:r>
          </w:p>
        </w:tc>
        <w:tc>
          <w:tcPr>
            <w:tcW w:w="3545" w:type="dxa"/>
            <w:tcBorders>
              <w:top w:val="single" w:color="auto" w:sz="6" w:space="0"/>
              <w:bottom w:val="single" w:color="auto" w:sz="6" w:space="0"/>
              <w:right w:val="single" w:color="auto" w:sz="4" w:space="0"/>
            </w:tcBorders>
            <w:shd w:val="clear" w:color="auto" w:fill="BEBEBE" w:themeFill="background1" w:themeFillShade="BF"/>
            <w:vAlign w:val="center"/>
          </w:tcPr>
          <w:p>
            <w:pPr>
              <w:spacing w:line="240" w:lineRule="atLeast"/>
              <w:ind w:left="420"/>
              <w:jc w:val="center"/>
              <w:rPr>
                <w:rFonts w:ascii="宋体" w:hAnsi="宋体"/>
                <w:szCs w:val="21"/>
              </w:rPr>
            </w:pPr>
            <w:r>
              <w:rPr>
                <w:rFonts w:hint="eastAsia" w:ascii="宋体" w:hAnsi="宋体"/>
                <w:szCs w:val="21"/>
              </w:rPr>
              <w:t>评估因素</w:t>
            </w:r>
          </w:p>
        </w:tc>
        <w:tc>
          <w:tcPr>
            <w:tcW w:w="709" w:type="dxa"/>
            <w:tcBorders>
              <w:top w:val="single" w:color="auto" w:sz="6" w:space="0"/>
              <w:left w:val="single" w:color="auto" w:sz="4" w:space="0"/>
              <w:bottom w:val="single" w:color="auto" w:sz="6" w:space="0"/>
              <w:right w:val="single" w:color="auto" w:sz="4" w:space="0"/>
            </w:tcBorders>
            <w:shd w:val="clear" w:color="auto" w:fill="BEBEBE" w:themeFill="background1" w:themeFillShade="BF"/>
          </w:tcPr>
          <w:p>
            <w:pPr>
              <w:spacing w:line="240" w:lineRule="atLeast"/>
              <w:rPr>
                <w:rFonts w:ascii="宋体" w:hAnsi="宋体"/>
                <w:szCs w:val="21"/>
              </w:rPr>
            </w:pPr>
            <w:r>
              <w:rPr>
                <w:rFonts w:hint="eastAsia" w:ascii="宋体" w:hAnsi="宋体"/>
                <w:szCs w:val="21"/>
              </w:rPr>
              <w:t>分值</w:t>
            </w:r>
          </w:p>
        </w:tc>
        <w:tc>
          <w:tcPr>
            <w:tcW w:w="708" w:type="dxa"/>
            <w:tcBorders>
              <w:top w:val="single" w:color="auto" w:sz="6" w:space="0"/>
              <w:left w:val="single" w:color="auto" w:sz="4" w:space="0"/>
              <w:bottom w:val="single" w:color="auto" w:sz="6" w:space="0"/>
              <w:right w:val="single" w:color="auto" w:sz="4" w:space="0"/>
            </w:tcBorders>
            <w:shd w:val="clear" w:color="auto" w:fill="BEBEBE" w:themeFill="background1" w:themeFillShade="BF"/>
          </w:tcPr>
          <w:p>
            <w:pPr>
              <w:spacing w:line="240" w:lineRule="atLeast"/>
              <w:rPr>
                <w:rFonts w:ascii="宋体" w:hAnsi="宋体"/>
                <w:szCs w:val="21"/>
              </w:rPr>
            </w:pPr>
            <w:r>
              <w:rPr>
                <w:rFonts w:hint="eastAsia" w:ascii="宋体" w:hAnsi="宋体"/>
                <w:szCs w:val="21"/>
              </w:rPr>
              <w:t>初评</w:t>
            </w:r>
          </w:p>
        </w:tc>
        <w:tc>
          <w:tcPr>
            <w:tcW w:w="709" w:type="dxa"/>
            <w:tcBorders>
              <w:top w:val="single" w:color="auto" w:sz="6" w:space="0"/>
              <w:left w:val="single" w:color="auto" w:sz="4" w:space="0"/>
              <w:bottom w:val="single" w:color="auto" w:sz="6" w:space="0"/>
              <w:right w:val="single" w:color="auto" w:sz="4" w:space="0"/>
            </w:tcBorders>
            <w:shd w:val="clear" w:color="auto" w:fill="BEBEBE" w:themeFill="background1" w:themeFillShade="BF"/>
          </w:tcPr>
          <w:p>
            <w:pPr>
              <w:spacing w:line="240" w:lineRule="atLeast"/>
              <w:rPr>
                <w:rFonts w:ascii="宋体" w:hAnsi="宋体"/>
                <w:szCs w:val="21"/>
              </w:rPr>
            </w:pPr>
            <w:r>
              <w:rPr>
                <w:rFonts w:hint="eastAsia" w:ascii="宋体" w:hAnsi="宋体"/>
                <w:szCs w:val="21"/>
              </w:rPr>
              <w:t>复评</w:t>
            </w:r>
          </w:p>
        </w:tc>
        <w:tc>
          <w:tcPr>
            <w:tcW w:w="901" w:type="dxa"/>
            <w:tcBorders>
              <w:top w:val="single" w:color="auto" w:sz="6" w:space="0"/>
              <w:left w:val="single" w:color="auto" w:sz="4" w:space="0"/>
              <w:bottom w:val="single" w:color="auto" w:sz="6" w:space="0"/>
            </w:tcBorders>
            <w:shd w:val="clear" w:color="auto" w:fill="BEBEBE" w:themeFill="background1" w:themeFillShade="BF"/>
          </w:tcPr>
          <w:p>
            <w:pPr>
              <w:spacing w:line="240" w:lineRule="atLeast"/>
              <w:rPr>
                <w:rFonts w:ascii="宋体" w:hAnsi="宋体"/>
                <w:szCs w:val="21"/>
              </w:rPr>
            </w:pPr>
            <w:r>
              <w:rPr>
                <w:rFonts w:hint="eastAsia" w:ascii="宋体" w:hAnsi="宋体"/>
                <w:szCs w:val="21"/>
              </w:rPr>
              <w:t>总分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vAlign w:val="center"/>
          </w:tcPr>
          <w:p>
            <w:pPr>
              <w:spacing w:line="240" w:lineRule="atLeast"/>
              <w:jc w:val="left"/>
              <w:rPr>
                <w:rFonts w:ascii="宋体" w:hAnsi="宋体"/>
                <w:szCs w:val="21"/>
              </w:rPr>
            </w:pPr>
          </w:p>
        </w:tc>
        <w:tc>
          <w:tcPr>
            <w:tcW w:w="3545" w:type="dxa"/>
            <w:tcBorders>
              <w:top w:val="single" w:color="auto" w:sz="6" w:space="0"/>
              <w:right w:val="single" w:color="auto" w:sz="4" w:space="0"/>
            </w:tcBorders>
          </w:tcPr>
          <w:p>
            <w:pPr>
              <w:numPr>
                <w:ilvl w:val="0"/>
                <w:numId w:val="1"/>
              </w:numPr>
              <w:spacing w:line="240" w:lineRule="atLeast"/>
              <w:rPr>
                <w:rFonts w:ascii="宋体" w:hAnsi="宋体"/>
                <w:szCs w:val="21"/>
              </w:rPr>
            </w:pPr>
            <w:r>
              <w:rPr>
                <w:rFonts w:hint="eastAsia" w:ascii="宋体" w:hAnsi="宋体"/>
                <w:szCs w:val="21"/>
              </w:rPr>
              <w:t>流动性</w:t>
            </w:r>
          </w:p>
        </w:tc>
        <w:tc>
          <w:tcPr>
            <w:tcW w:w="709" w:type="dxa"/>
            <w:tcBorders>
              <w:top w:val="single" w:color="auto" w:sz="6" w:space="0"/>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top w:val="single" w:color="auto" w:sz="6" w:space="0"/>
              <w:left w:val="single" w:color="auto" w:sz="4" w:space="0"/>
              <w:right w:val="single" w:color="auto" w:sz="4" w:space="0"/>
            </w:tcBorders>
          </w:tcPr>
          <w:p>
            <w:pPr>
              <w:spacing w:line="240" w:lineRule="atLeast"/>
              <w:rPr>
                <w:rFonts w:ascii="宋体" w:hAnsi="宋体"/>
                <w:szCs w:val="21"/>
              </w:rPr>
            </w:pPr>
          </w:p>
        </w:tc>
        <w:tc>
          <w:tcPr>
            <w:tcW w:w="709" w:type="dxa"/>
            <w:tcBorders>
              <w:top w:val="single" w:color="auto" w:sz="6" w:space="0"/>
              <w:left w:val="single" w:color="auto" w:sz="4" w:space="0"/>
              <w:right w:val="single" w:color="auto" w:sz="4" w:space="0"/>
            </w:tcBorders>
          </w:tcPr>
          <w:p>
            <w:pPr>
              <w:spacing w:line="240" w:lineRule="atLeast"/>
              <w:rPr>
                <w:rFonts w:ascii="宋体" w:hAnsi="宋体"/>
                <w:szCs w:val="21"/>
              </w:rPr>
            </w:pPr>
          </w:p>
        </w:tc>
        <w:tc>
          <w:tcPr>
            <w:tcW w:w="901" w:type="dxa"/>
            <w:vMerge w:val="restart"/>
            <w:tcBorders>
              <w:top w:val="single" w:color="auto" w:sz="6" w:space="0"/>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545" w:type="dxa"/>
            <w:tcBorders>
              <w:right w:val="single" w:color="auto" w:sz="4" w:space="0"/>
            </w:tcBorders>
          </w:tcPr>
          <w:p>
            <w:pPr>
              <w:numPr>
                <w:ilvl w:val="0"/>
                <w:numId w:val="1"/>
              </w:numPr>
              <w:spacing w:line="240" w:lineRule="atLeast"/>
              <w:rPr>
                <w:rFonts w:ascii="宋体" w:hAnsi="宋体"/>
                <w:szCs w:val="21"/>
              </w:rPr>
            </w:pPr>
            <w:r>
              <w:rPr>
                <w:rFonts w:hint="eastAsia" w:ascii="宋体" w:hAnsi="宋体"/>
                <w:szCs w:val="21"/>
              </w:rPr>
              <w:t>到期时限</w:t>
            </w:r>
          </w:p>
        </w:tc>
        <w:tc>
          <w:tcPr>
            <w:tcW w:w="709" w:type="dxa"/>
            <w:tcBorders>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left w:val="single" w:color="auto" w:sz="4" w:space="0"/>
              <w:right w:val="single" w:color="auto" w:sz="4" w:space="0"/>
            </w:tcBorders>
          </w:tcPr>
          <w:p>
            <w:pPr>
              <w:spacing w:line="240" w:lineRule="atLeast"/>
              <w:rPr>
                <w:rFonts w:ascii="宋体" w:hAnsi="宋体"/>
                <w:szCs w:val="21"/>
              </w:rPr>
            </w:pPr>
          </w:p>
        </w:tc>
        <w:tc>
          <w:tcPr>
            <w:tcW w:w="709" w:type="dxa"/>
            <w:tcBorders>
              <w:left w:val="single" w:color="auto" w:sz="4" w:space="0"/>
              <w:right w:val="single" w:color="auto" w:sz="4" w:space="0"/>
            </w:tcBorders>
          </w:tcPr>
          <w:p>
            <w:pPr>
              <w:spacing w:line="240" w:lineRule="atLeast"/>
              <w:rPr>
                <w:rFonts w:ascii="宋体" w:hAnsi="宋体"/>
                <w:szCs w:val="21"/>
              </w:rPr>
            </w:pPr>
          </w:p>
        </w:tc>
        <w:tc>
          <w:tcPr>
            <w:tcW w:w="901"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545" w:type="dxa"/>
            <w:tcBorders>
              <w:right w:val="single" w:color="auto" w:sz="4" w:space="0"/>
            </w:tcBorders>
          </w:tcPr>
          <w:p>
            <w:pPr>
              <w:numPr>
                <w:ilvl w:val="0"/>
                <w:numId w:val="1"/>
              </w:numPr>
              <w:spacing w:line="240" w:lineRule="atLeast"/>
              <w:rPr>
                <w:rFonts w:ascii="宋体" w:hAnsi="宋体"/>
                <w:szCs w:val="21"/>
              </w:rPr>
            </w:pPr>
            <w:r>
              <w:rPr>
                <w:rFonts w:hint="eastAsia" w:ascii="宋体" w:hAnsi="宋体"/>
                <w:szCs w:val="21"/>
              </w:rPr>
              <w:t>杠杆情况</w:t>
            </w:r>
          </w:p>
        </w:tc>
        <w:tc>
          <w:tcPr>
            <w:tcW w:w="709" w:type="dxa"/>
            <w:tcBorders>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left w:val="single" w:color="auto" w:sz="4" w:space="0"/>
              <w:right w:val="single" w:color="auto" w:sz="4" w:space="0"/>
            </w:tcBorders>
          </w:tcPr>
          <w:p>
            <w:pPr>
              <w:spacing w:line="240" w:lineRule="atLeast"/>
              <w:rPr>
                <w:rFonts w:ascii="宋体" w:hAnsi="宋体"/>
                <w:szCs w:val="21"/>
              </w:rPr>
            </w:pPr>
          </w:p>
        </w:tc>
        <w:tc>
          <w:tcPr>
            <w:tcW w:w="709" w:type="dxa"/>
            <w:tcBorders>
              <w:left w:val="single" w:color="auto" w:sz="4" w:space="0"/>
              <w:right w:val="single" w:color="auto" w:sz="4" w:space="0"/>
            </w:tcBorders>
          </w:tcPr>
          <w:p>
            <w:pPr>
              <w:spacing w:line="240" w:lineRule="atLeast"/>
              <w:rPr>
                <w:rFonts w:ascii="宋体" w:hAnsi="宋体"/>
                <w:szCs w:val="21"/>
              </w:rPr>
            </w:pPr>
          </w:p>
        </w:tc>
        <w:tc>
          <w:tcPr>
            <w:tcW w:w="901"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545" w:type="dxa"/>
            <w:tcBorders>
              <w:right w:val="single" w:color="auto" w:sz="4" w:space="0"/>
            </w:tcBorders>
          </w:tcPr>
          <w:p>
            <w:pPr>
              <w:numPr>
                <w:ilvl w:val="0"/>
                <w:numId w:val="1"/>
              </w:numPr>
              <w:spacing w:line="240" w:lineRule="atLeast"/>
              <w:rPr>
                <w:rFonts w:ascii="宋体" w:hAnsi="宋体"/>
                <w:szCs w:val="21"/>
              </w:rPr>
            </w:pPr>
            <w:r>
              <w:rPr>
                <w:rFonts w:hint="eastAsia" w:ascii="宋体" w:hAnsi="宋体"/>
                <w:szCs w:val="21"/>
              </w:rPr>
              <w:t>结构复杂性</w:t>
            </w:r>
          </w:p>
        </w:tc>
        <w:tc>
          <w:tcPr>
            <w:tcW w:w="709" w:type="dxa"/>
            <w:tcBorders>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left w:val="single" w:color="auto" w:sz="4" w:space="0"/>
              <w:right w:val="single" w:color="auto" w:sz="4" w:space="0"/>
            </w:tcBorders>
          </w:tcPr>
          <w:p>
            <w:pPr>
              <w:spacing w:line="240" w:lineRule="atLeast"/>
              <w:rPr>
                <w:rFonts w:ascii="宋体" w:hAnsi="宋体"/>
                <w:szCs w:val="21"/>
              </w:rPr>
            </w:pPr>
          </w:p>
        </w:tc>
        <w:tc>
          <w:tcPr>
            <w:tcW w:w="709" w:type="dxa"/>
            <w:tcBorders>
              <w:left w:val="single" w:color="auto" w:sz="4" w:space="0"/>
              <w:right w:val="single" w:color="auto" w:sz="4" w:space="0"/>
            </w:tcBorders>
          </w:tcPr>
          <w:p>
            <w:pPr>
              <w:spacing w:line="240" w:lineRule="atLeast"/>
              <w:rPr>
                <w:rFonts w:ascii="宋体" w:hAnsi="宋体"/>
                <w:szCs w:val="21"/>
              </w:rPr>
            </w:pPr>
          </w:p>
        </w:tc>
        <w:tc>
          <w:tcPr>
            <w:tcW w:w="901"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545" w:type="dxa"/>
            <w:tcBorders>
              <w:right w:val="single" w:color="auto" w:sz="4" w:space="0"/>
            </w:tcBorders>
          </w:tcPr>
          <w:p>
            <w:pPr>
              <w:numPr>
                <w:ilvl w:val="0"/>
                <w:numId w:val="1"/>
              </w:numPr>
              <w:spacing w:line="240" w:lineRule="atLeast"/>
              <w:rPr>
                <w:rFonts w:ascii="宋体" w:hAnsi="宋体"/>
                <w:szCs w:val="21"/>
              </w:rPr>
            </w:pPr>
            <w:r>
              <w:rPr>
                <w:rFonts w:hint="eastAsia" w:ascii="宋体" w:hAnsi="宋体"/>
                <w:szCs w:val="21"/>
              </w:rPr>
              <w:t>投资单位产品或者相关服务的最低金额</w:t>
            </w:r>
          </w:p>
        </w:tc>
        <w:tc>
          <w:tcPr>
            <w:tcW w:w="709" w:type="dxa"/>
            <w:tcBorders>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left w:val="single" w:color="auto" w:sz="4" w:space="0"/>
              <w:right w:val="single" w:color="auto" w:sz="4" w:space="0"/>
            </w:tcBorders>
          </w:tcPr>
          <w:p>
            <w:pPr>
              <w:spacing w:line="240" w:lineRule="atLeast"/>
              <w:rPr>
                <w:rFonts w:ascii="宋体" w:hAnsi="宋体"/>
                <w:szCs w:val="21"/>
              </w:rPr>
            </w:pPr>
          </w:p>
        </w:tc>
        <w:tc>
          <w:tcPr>
            <w:tcW w:w="709" w:type="dxa"/>
            <w:tcBorders>
              <w:left w:val="single" w:color="auto" w:sz="4" w:space="0"/>
              <w:right w:val="single" w:color="auto" w:sz="4" w:space="0"/>
            </w:tcBorders>
          </w:tcPr>
          <w:p>
            <w:pPr>
              <w:spacing w:line="240" w:lineRule="atLeast"/>
              <w:rPr>
                <w:rFonts w:ascii="宋体" w:hAnsi="宋体"/>
                <w:szCs w:val="21"/>
              </w:rPr>
            </w:pPr>
          </w:p>
        </w:tc>
        <w:tc>
          <w:tcPr>
            <w:tcW w:w="901"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545" w:type="dxa"/>
            <w:tcBorders>
              <w:right w:val="single" w:color="auto" w:sz="4" w:space="0"/>
            </w:tcBorders>
          </w:tcPr>
          <w:p>
            <w:pPr>
              <w:numPr>
                <w:ilvl w:val="0"/>
                <w:numId w:val="1"/>
              </w:numPr>
              <w:spacing w:line="240" w:lineRule="atLeast"/>
              <w:rPr>
                <w:rFonts w:ascii="宋体" w:hAnsi="宋体"/>
                <w:szCs w:val="21"/>
              </w:rPr>
            </w:pPr>
            <w:r>
              <w:rPr>
                <w:rFonts w:hint="eastAsia" w:ascii="宋体" w:hAnsi="宋体"/>
                <w:szCs w:val="21"/>
              </w:rPr>
              <w:t>投资方向和投资范围</w:t>
            </w:r>
          </w:p>
        </w:tc>
        <w:tc>
          <w:tcPr>
            <w:tcW w:w="709" w:type="dxa"/>
            <w:tcBorders>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left w:val="single" w:color="auto" w:sz="4" w:space="0"/>
              <w:right w:val="single" w:color="auto" w:sz="4" w:space="0"/>
            </w:tcBorders>
          </w:tcPr>
          <w:p>
            <w:pPr>
              <w:spacing w:line="240" w:lineRule="atLeast"/>
              <w:rPr>
                <w:rFonts w:ascii="宋体" w:hAnsi="宋体"/>
                <w:szCs w:val="21"/>
              </w:rPr>
            </w:pPr>
          </w:p>
        </w:tc>
        <w:tc>
          <w:tcPr>
            <w:tcW w:w="709" w:type="dxa"/>
            <w:tcBorders>
              <w:left w:val="single" w:color="auto" w:sz="4" w:space="0"/>
              <w:right w:val="single" w:color="auto" w:sz="4" w:space="0"/>
            </w:tcBorders>
          </w:tcPr>
          <w:p>
            <w:pPr>
              <w:spacing w:line="240" w:lineRule="atLeast"/>
              <w:rPr>
                <w:rFonts w:ascii="宋体" w:hAnsi="宋体"/>
                <w:szCs w:val="21"/>
              </w:rPr>
            </w:pPr>
          </w:p>
        </w:tc>
        <w:tc>
          <w:tcPr>
            <w:tcW w:w="901"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545" w:type="dxa"/>
            <w:tcBorders>
              <w:right w:val="single" w:color="auto" w:sz="4" w:space="0"/>
            </w:tcBorders>
          </w:tcPr>
          <w:p>
            <w:pPr>
              <w:numPr>
                <w:ilvl w:val="0"/>
                <w:numId w:val="1"/>
              </w:numPr>
              <w:spacing w:line="240" w:lineRule="atLeast"/>
              <w:rPr>
                <w:rFonts w:ascii="宋体" w:hAnsi="宋体"/>
                <w:szCs w:val="21"/>
              </w:rPr>
            </w:pPr>
            <w:r>
              <w:rPr>
                <w:rFonts w:hint="eastAsia" w:ascii="宋体" w:hAnsi="宋体"/>
                <w:szCs w:val="21"/>
              </w:rPr>
              <w:t>募集方式</w:t>
            </w:r>
          </w:p>
        </w:tc>
        <w:tc>
          <w:tcPr>
            <w:tcW w:w="709" w:type="dxa"/>
            <w:tcBorders>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left w:val="single" w:color="auto" w:sz="4" w:space="0"/>
              <w:right w:val="single" w:color="auto" w:sz="4" w:space="0"/>
            </w:tcBorders>
          </w:tcPr>
          <w:p>
            <w:pPr>
              <w:spacing w:line="240" w:lineRule="atLeast"/>
              <w:rPr>
                <w:rFonts w:ascii="宋体" w:hAnsi="宋体"/>
                <w:szCs w:val="21"/>
              </w:rPr>
            </w:pPr>
          </w:p>
        </w:tc>
        <w:tc>
          <w:tcPr>
            <w:tcW w:w="709" w:type="dxa"/>
            <w:tcBorders>
              <w:left w:val="single" w:color="auto" w:sz="4" w:space="0"/>
              <w:right w:val="single" w:color="auto" w:sz="4" w:space="0"/>
            </w:tcBorders>
          </w:tcPr>
          <w:p>
            <w:pPr>
              <w:spacing w:line="240" w:lineRule="atLeast"/>
              <w:rPr>
                <w:rFonts w:ascii="宋体" w:hAnsi="宋体"/>
                <w:szCs w:val="21"/>
              </w:rPr>
            </w:pPr>
          </w:p>
        </w:tc>
        <w:tc>
          <w:tcPr>
            <w:tcW w:w="901"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545" w:type="dxa"/>
            <w:tcBorders>
              <w:right w:val="single" w:color="auto" w:sz="4" w:space="0"/>
            </w:tcBorders>
          </w:tcPr>
          <w:p>
            <w:pPr>
              <w:numPr>
                <w:ilvl w:val="0"/>
                <w:numId w:val="1"/>
              </w:numPr>
              <w:spacing w:line="240" w:lineRule="atLeast"/>
              <w:rPr>
                <w:rFonts w:ascii="宋体" w:hAnsi="宋体"/>
                <w:szCs w:val="21"/>
              </w:rPr>
            </w:pPr>
            <w:r>
              <w:rPr>
                <w:rFonts w:hint="eastAsia" w:ascii="宋体" w:hAnsi="宋体"/>
                <w:szCs w:val="21"/>
              </w:rPr>
              <w:t>发行人等相关主体的信用状况</w:t>
            </w:r>
          </w:p>
        </w:tc>
        <w:tc>
          <w:tcPr>
            <w:tcW w:w="709" w:type="dxa"/>
            <w:tcBorders>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left w:val="single" w:color="auto" w:sz="4" w:space="0"/>
              <w:right w:val="single" w:color="auto" w:sz="4" w:space="0"/>
            </w:tcBorders>
          </w:tcPr>
          <w:p>
            <w:pPr>
              <w:spacing w:line="240" w:lineRule="atLeast"/>
              <w:rPr>
                <w:rFonts w:ascii="宋体" w:hAnsi="宋体"/>
                <w:szCs w:val="21"/>
              </w:rPr>
            </w:pPr>
          </w:p>
        </w:tc>
        <w:tc>
          <w:tcPr>
            <w:tcW w:w="709" w:type="dxa"/>
            <w:tcBorders>
              <w:left w:val="single" w:color="auto" w:sz="4" w:space="0"/>
              <w:right w:val="single" w:color="auto" w:sz="4" w:space="0"/>
            </w:tcBorders>
          </w:tcPr>
          <w:p>
            <w:pPr>
              <w:spacing w:line="240" w:lineRule="atLeast"/>
              <w:rPr>
                <w:rFonts w:ascii="宋体" w:hAnsi="宋体"/>
                <w:szCs w:val="21"/>
              </w:rPr>
            </w:pPr>
          </w:p>
        </w:tc>
        <w:tc>
          <w:tcPr>
            <w:tcW w:w="901"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545" w:type="dxa"/>
            <w:tcBorders>
              <w:right w:val="single" w:color="auto" w:sz="4" w:space="0"/>
            </w:tcBorders>
          </w:tcPr>
          <w:p>
            <w:pPr>
              <w:numPr>
                <w:ilvl w:val="0"/>
                <w:numId w:val="1"/>
              </w:numPr>
              <w:spacing w:line="240" w:lineRule="atLeast"/>
              <w:rPr>
                <w:rFonts w:ascii="宋体" w:hAnsi="宋体"/>
                <w:szCs w:val="21"/>
              </w:rPr>
            </w:pPr>
            <w:r>
              <w:rPr>
                <w:rFonts w:hint="eastAsia" w:ascii="宋体" w:hAnsi="宋体"/>
                <w:szCs w:val="21"/>
              </w:rPr>
              <w:t>同类产品或者服务过往业绩</w:t>
            </w:r>
          </w:p>
        </w:tc>
        <w:tc>
          <w:tcPr>
            <w:tcW w:w="709" w:type="dxa"/>
            <w:tcBorders>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left w:val="single" w:color="auto" w:sz="4" w:space="0"/>
              <w:right w:val="single" w:color="auto" w:sz="4" w:space="0"/>
            </w:tcBorders>
          </w:tcPr>
          <w:p>
            <w:pPr>
              <w:spacing w:line="240" w:lineRule="atLeast"/>
              <w:rPr>
                <w:rFonts w:ascii="宋体" w:hAnsi="宋体"/>
                <w:szCs w:val="21"/>
              </w:rPr>
            </w:pPr>
          </w:p>
        </w:tc>
        <w:tc>
          <w:tcPr>
            <w:tcW w:w="709" w:type="dxa"/>
            <w:tcBorders>
              <w:left w:val="single" w:color="auto" w:sz="4" w:space="0"/>
              <w:right w:val="single" w:color="auto" w:sz="4" w:space="0"/>
            </w:tcBorders>
          </w:tcPr>
          <w:p>
            <w:pPr>
              <w:spacing w:line="240" w:lineRule="atLeast"/>
              <w:rPr>
                <w:rFonts w:ascii="宋体" w:hAnsi="宋体"/>
                <w:szCs w:val="21"/>
              </w:rPr>
            </w:pPr>
          </w:p>
        </w:tc>
        <w:tc>
          <w:tcPr>
            <w:tcW w:w="901"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545" w:type="dxa"/>
            <w:tcBorders>
              <w:right w:val="single" w:color="auto" w:sz="4" w:space="0"/>
            </w:tcBorders>
          </w:tcPr>
          <w:p>
            <w:pPr>
              <w:numPr>
                <w:ilvl w:val="0"/>
                <w:numId w:val="1"/>
              </w:numPr>
              <w:spacing w:line="240" w:lineRule="atLeast"/>
              <w:rPr>
                <w:rFonts w:ascii="宋体" w:hAnsi="宋体"/>
                <w:szCs w:val="21"/>
              </w:rPr>
            </w:pPr>
            <w:r>
              <w:rPr>
                <w:rFonts w:hint="eastAsia" w:ascii="宋体" w:hAnsi="宋体"/>
                <w:szCs w:val="21"/>
              </w:rPr>
              <w:t>其他因素</w:t>
            </w:r>
          </w:p>
        </w:tc>
        <w:tc>
          <w:tcPr>
            <w:tcW w:w="709" w:type="dxa"/>
            <w:tcBorders>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left w:val="single" w:color="auto" w:sz="4" w:space="0"/>
              <w:right w:val="single" w:color="auto" w:sz="4" w:space="0"/>
            </w:tcBorders>
          </w:tcPr>
          <w:p>
            <w:pPr>
              <w:spacing w:line="240" w:lineRule="atLeast"/>
              <w:rPr>
                <w:rFonts w:ascii="宋体" w:hAnsi="宋体"/>
                <w:szCs w:val="21"/>
              </w:rPr>
            </w:pPr>
          </w:p>
        </w:tc>
        <w:tc>
          <w:tcPr>
            <w:tcW w:w="709" w:type="dxa"/>
            <w:tcBorders>
              <w:left w:val="single" w:color="auto" w:sz="4" w:space="0"/>
              <w:right w:val="single" w:color="auto" w:sz="4" w:space="0"/>
            </w:tcBorders>
          </w:tcPr>
          <w:p>
            <w:pPr>
              <w:spacing w:line="240" w:lineRule="atLeast"/>
              <w:rPr>
                <w:rFonts w:ascii="宋体" w:hAnsi="宋体"/>
                <w:szCs w:val="21"/>
              </w:rPr>
            </w:pPr>
          </w:p>
        </w:tc>
        <w:tc>
          <w:tcPr>
            <w:tcW w:w="901"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64" w:hRule="atLeast"/>
        </w:trPr>
        <w:tc>
          <w:tcPr>
            <w:tcW w:w="1950" w:type="dxa"/>
            <w:shd w:val="clear" w:color="auto" w:fill="E0E0E0"/>
          </w:tcPr>
          <w:p>
            <w:pPr>
              <w:spacing w:line="240" w:lineRule="atLeast"/>
              <w:rPr>
                <w:rFonts w:ascii="宋体" w:hAnsi="宋体"/>
                <w:szCs w:val="21"/>
              </w:rPr>
            </w:pPr>
            <w:r>
              <w:rPr>
                <w:rFonts w:hint="eastAsia" w:ascii="宋体" w:hAnsi="宋体"/>
                <w:szCs w:val="21"/>
              </w:rPr>
              <w:t>参与评估的部门及人员</w:t>
            </w:r>
          </w:p>
        </w:tc>
        <w:tc>
          <w:tcPr>
            <w:tcW w:w="6572" w:type="dxa"/>
            <w:gridSpan w:val="5"/>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E0E0E0"/>
          </w:tcPr>
          <w:p>
            <w:pPr>
              <w:spacing w:line="240" w:lineRule="atLeast"/>
              <w:rPr>
                <w:rFonts w:ascii="宋体" w:hAnsi="宋体"/>
                <w:szCs w:val="21"/>
              </w:rPr>
            </w:pPr>
            <w:r>
              <w:rPr>
                <w:rFonts w:hint="eastAsia" w:ascii="宋体" w:hAnsi="宋体"/>
                <w:szCs w:val="21"/>
              </w:rPr>
              <w:t>产品或服务风险等级</w:t>
            </w:r>
          </w:p>
        </w:tc>
        <w:tc>
          <w:tcPr>
            <w:tcW w:w="6572" w:type="dxa"/>
            <w:gridSpan w:val="5"/>
          </w:tcPr>
          <w:p>
            <w:pPr>
              <w:spacing w:line="240" w:lineRule="atLeast"/>
              <w:rPr>
                <w:rFonts w:ascii="宋体" w:hAnsi="宋体"/>
                <w:szCs w:val="21"/>
              </w:rPr>
            </w:pPr>
            <w:r>
              <w:rPr>
                <w:rFonts w:hint="eastAsia" w:ascii="宋体" w:hAnsi="宋体"/>
                <w:szCs w:val="21"/>
              </w:rPr>
              <w:t>经评估，本产品或服务的风险等级为：</w:t>
            </w: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低风险（R1） </w:t>
            </w:r>
            <w:r>
              <w:rPr>
                <w:rFonts w:hint="eastAsia" w:ascii="宋体" w:hAnsi="宋体"/>
                <w:szCs w:val="21"/>
              </w:rPr>
              <w:sym w:font="Wingdings" w:char="F06F"/>
            </w:r>
            <w:r>
              <w:rPr>
                <w:rFonts w:hint="eastAsia" w:ascii="宋体" w:hAnsi="宋体"/>
                <w:szCs w:val="21"/>
              </w:rPr>
              <w:t xml:space="preserve">中低风险（R2） </w:t>
            </w:r>
            <w:r>
              <w:rPr>
                <w:rFonts w:hint="eastAsia" w:ascii="宋体" w:hAnsi="宋体"/>
                <w:szCs w:val="21"/>
              </w:rPr>
              <w:sym w:font="Wingdings" w:char="F06F"/>
            </w:r>
            <w:r>
              <w:rPr>
                <w:rFonts w:hint="eastAsia" w:ascii="宋体" w:hAnsi="宋体"/>
                <w:szCs w:val="21"/>
              </w:rPr>
              <w:t xml:space="preserve">中风险（R3） </w:t>
            </w:r>
            <w:r>
              <w:rPr>
                <w:rFonts w:hint="eastAsia" w:ascii="宋体" w:hAnsi="宋体"/>
                <w:szCs w:val="21"/>
              </w:rPr>
              <w:sym w:font="Wingdings" w:char="F06F"/>
            </w:r>
            <w:r>
              <w:rPr>
                <w:rFonts w:hint="eastAsia" w:ascii="宋体" w:hAnsi="宋体"/>
                <w:szCs w:val="21"/>
              </w:rPr>
              <w:t xml:space="preserve">中高风险（R4）  </w:t>
            </w:r>
            <w:r>
              <w:rPr>
                <w:rFonts w:hint="eastAsia" w:ascii="宋体" w:hAnsi="宋体"/>
                <w:szCs w:val="21"/>
              </w:rPr>
              <w:sym w:font="Wingdings" w:char="F06F"/>
            </w:r>
            <w:r>
              <w:rPr>
                <w:rFonts w:hint="eastAsia" w:ascii="宋体" w:hAnsi="宋体"/>
                <w:szCs w:val="21"/>
              </w:rPr>
              <w:t>高风险（R5）</w:t>
            </w:r>
          </w:p>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E0E0E0"/>
          </w:tcPr>
          <w:p>
            <w:pPr>
              <w:spacing w:line="240" w:lineRule="atLeast"/>
              <w:rPr>
                <w:rFonts w:ascii="宋体" w:hAnsi="宋体"/>
                <w:szCs w:val="21"/>
              </w:rPr>
            </w:pPr>
            <w:r>
              <w:rPr>
                <w:rFonts w:hint="eastAsia" w:ascii="宋体" w:hAnsi="宋体"/>
                <w:szCs w:val="21"/>
              </w:rPr>
              <w:t>产品或服务适合的对象</w:t>
            </w:r>
          </w:p>
        </w:tc>
        <w:tc>
          <w:tcPr>
            <w:tcW w:w="6572" w:type="dxa"/>
            <w:gridSpan w:val="5"/>
          </w:tcPr>
          <w:p>
            <w:pPr>
              <w:spacing w:line="240" w:lineRule="atLeast"/>
              <w:rPr>
                <w:rFonts w:ascii="宋体" w:hAnsi="宋体"/>
                <w:szCs w:val="21"/>
              </w:rPr>
            </w:pPr>
            <w:r>
              <w:rPr>
                <w:rFonts w:hint="eastAsia" w:ascii="宋体" w:hAnsi="宋体"/>
                <w:szCs w:val="21"/>
              </w:rPr>
              <w:t>经评估，本产品或服务适合的投资者风险承受能力等级为：</w:t>
            </w: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保守型（C1） </w:t>
            </w:r>
            <w:r>
              <w:rPr>
                <w:rFonts w:hint="eastAsia" w:ascii="宋体" w:hAnsi="宋体"/>
                <w:szCs w:val="21"/>
              </w:rPr>
              <w:sym w:font="Wingdings" w:char="F06F"/>
            </w:r>
            <w:r>
              <w:rPr>
                <w:rFonts w:hint="eastAsia" w:ascii="宋体" w:hAnsi="宋体"/>
                <w:szCs w:val="21"/>
              </w:rPr>
              <w:t xml:space="preserve">谨慎型（C2） </w:t>
            </w:r>
            <w:r>
              <w:rPr>
                <w:rFonts w:hint="eastAsia" w:ascii="宋体" w:hAnsi="宋体"/>
                <w:szCs w:val="21"/>
              </w:rPr>
              <w:sym w:font="Wingdings" w:char="F06F"/>
            </w:r>
            <w:r>
              <w:rPr>
                <w:rFonts w:hint="eastAsia" w:ascii="宋体" w:hAnsi="宋体"/>
                <w:szCs w:val="21"/>
              </w:rPr>
              <w:t xml:space="preserve">稳健型（C3） </w:t>
            </w:r>
            <w:r>
              <w:rPr>
                <w:rFonts w:hint="eastAsia" w:ascii="宋体" w:hAnsi="宋体"/>
                <w:szCs w:val="21"/>
              </w:rPr>
              <w:sym w:font="Wingdings" w:char="F06F"/>
            </w:r>
            <w:r>
              <w:rPr>
                <w:rFonts w:hint="eastAsia" w:ascii="宋体" w:hAnsi="宋体"/>
                <w:szCs w:val="21"/>
              </w:rPr>
              <w:t xml:space="preserve">积极型（C4） </w:t>
            </w:r>
            <w:r>
              <w:rPr>
                <w:rFonts w:hint="eastAsia" w:ascii="宋体" w:hAnsi="宋体"/>
                <w:szCs w:val="21"/>
              </w:rPr>
              <w:sym w:font="Wingdings" w:char="F06F"/>
            </w:r>
            <w:r>
              <w:rPr>
                <w:rFonts w:hint="eastAsia" w:ascii="宋体" w:hAnsi="宋体"/>
                <w:szCs w:val="21"/>
              </w:rPr>
              <w:t>激进型（C5）</w:t>
            </w:r>
          </w:p>
          <w:p>
            <w:pPr>
              <w:spacing w:line="240" w:lineRule="atLeast"/>
              <w:rPr>
                <w:rFonts w:ascii="宋体" w:hAnsi="宋体"/>
                <w:szCs w:val="21"/>
              </w:rPr>
            </w:pPr>
          </w:p>
        </w:tc>
      </w:tr>
    </w:tbl>
    <w:p>
      <w:pPr>
        <w:spacing w:line="240" w:lineRule="atLeast"/>
        <w:rPr>
          <w:rFonts w:ascii="宋体" w:hAnsi="宋体"/>
          <w:sz w:val="24"/>
        </w:rPr>
      </w:pPr>
    </w:p>
    <w:p>
      <w:pPr>
        <w:spacing w:line="240" w:lineRule="atLeast"/>
        <w:rPr>
          <w:rFonts w:ascii="宋体" w:hAnsi="宋体"/>
          <w:sz w:val="24"/>
        </w:rPr>
      </w:pPr>
      <w:r>
        <w:rPr>
          <w:rFonts w:hint="eastAsia" w:ascii="宋体" w:hAnsi="宋体"/>
          <w:sz w:val="24"/>
        </w:rPr>
        <w:t>附件：【</w:t>
      </w:r>
      <w:r>
        <w:rPr>
          <w:rFonts w:hint="eastAsia" w:ascii="宋体" w:hAnsi="宋体"/>
          <w:i/>
          <w:sz w:val="24"/>
        </w:rPr>
        <w:t>请列出支持性文件名称</w:t>
      </w:r>
      <w:r>
        <w:rPr>
          <w:rFonts w:hint="eastAsia" w:ascii="宋体" w:hAnsi="宋体"/>
          <w:sz w:val="24"/>
        </w:rPr>
        <w:t>】</w:t>
      </w:r>
    </w:p>
    <w:p>
      <w:pPr>
        <w:rPr>
          <w:rFonts w:ascii="宋体" w:hAnsi="宋体"/>
          <w:sz w:val="24"/>
        </w:rPr>
      </w:pPr>
    </w:p>
    <w:p>
      <w:pPr>
        <w:widowControl/>
        <w:jc w:val="left"/>
        <w:rPr>
          <w:rFonts w:ascii="宋体" w:hAnsi="宋体"/>
          <w:sz w:val="24"/>
        </w:rPr>
      </w:pPr>
    </w:p>
    <w:p>
      <w:pPr>
        <w:rPr>
          <w:rFonts w:ascii="宋体" w:hAnsi="宋体"/>
          <w:sz w:val="24"/>
        </w:rPr>
      </w:pPr>
    </w:p>
    <w:p>
      <w:pPr>
        <w:spacing w:before="156" w:beforeLines="50" w:after="156" w:afterLines="50" w:line="240" w:lineRule="atLeast"/>
        <w:jc w:val="center"/>
        <w:rPr>
          <w:rFonts w:ascii="宋体" w:hAnsi="宋体"/>
          <w:b/>
          <w:sz w:val="24"/>
        </w:rPr>
      </w:pPr>
      <w:r>
        <w:rPr>
          <w:rFonts w:hint="eastAsia" w:ascii="宋体" w:hAnsi="宋体"/>
          <w:b/>
          <w:sz w:val="24"/>
        </w:rPr>
        <w:t>附表：普通产品或服务风险等级</w:t>
      </w:r>
      <w:r>
        <w:rPr>
          <w:rFonts w:ascii="宋体" w:hAnsi="宋体"/>
          <w:b/>
          <w:sz w:val="24"/>
        </w:rPr>
        <w:t>划分标准对照表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ascii="宋体" w:hAnsi="宋体"/>
                <w:sz w:val="24"/>
              </w:rPr>
              <w:t>风险</w:t>
            </w:r>
            <w:r>
              <w:rPr>
                <w:rFonts w:hint="eastAsia" w:ascii="宋体" w:hAnsi="宋体"/>
                <w:sz w:val="24"/>
              </w:rPr>
              <w:t>等级</w:t>
            </w:r>
          </w:p>
        </w:tc>
        <w:tc>
          <w:tcPr>
            <w:tcW w:w="4278" w:type="dxa"/>
          </w:tcPr>
          <w:p>
            <w:pPr>
              <w:jc w:val="center"/>
              <w:rPr>
                <w:rFonts w:ascii="宋体" w:hAnsi="宋体"/>
                <w:sz w:val="24"/>
              </w:rPr>
            </w:pPr>
            <w:r>
              <w:rPr>
                <w:rFonts w:ascii="宋体" w:hAnsi="宋体"/>
                <w:sz w:val="24"/>
              </w:rPr>
              <w:t>分值区间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低风险（R1）</w:t>
            </w:r>
          </w:p>
        </w:tc>
        <w:tc>
          <w:tcPr>
            <w:tcW w:w="4278" w:type="dxa"/>
          </w:tcPr>
          <w:p>
            <w:pPr>
              <w:jc w:val="center"/>
              <w:rPr>
                <w:rFonts w:ascii="宋体" w:hAnsi="宋体"/>
                <w:sz w:val="24"/>
              </w:rPr>
            </w:pPr>
            <w:r>
              <w:rPr>
                <w:rFonts w:hint="eastAsia" w:ascii="宋体" w:hAnsi="宋体"/>
                <w:sz w:val="24"/>
              </w:rPr>
              <w:t>60分</w:t>
            </w:r>
            <w:r>
              <w:rPr>
                <w:rFonts w:ascii="宋体" w:hAnsi="宋体"/>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中低风险（R2）</w:t>
            </w:r>
          </w:p>
        </w:tc>
        <w:tc>
          <w:tcPr>
            <w:tcW w:w="4278" w:type="dxa"/>
          </w:tcPr>
          <w:p>
            <w:pPr>
              <w:jc w:val="center"/>
              <w:rPr>
                <w:rFonts w:ascii="宋体" w:hAnsi="宋体"/>
                <w:sz w:val="24"/>
              </w:rPr>
            </w:pPr>
            <w:r>
              <w:rPr>
                <w:rFonts w:hint="eastAsia" w:ascii="宋体" w:hAnsi="宋体"/>
                <w:sz w:val="24"/>
              </w:rPr>
              <w:t>60</w:t>
            </w:r>
            <w:r>
              <w:rPr>
                <w:rFonts w:ascii="宋体" w:hAnsi="宋体"/>
                <w:sz w:val="24"/>
              </w:rPr>
              <w:t>-</w:t>
            </w:r>
            <w:r>
              <w:rPr>
                <w:rFonts w:hint="eastAsia" w:ascii="宋体" w:hAnsi="宋体"/>
                <w:sz w:val="24"/>
              </w:rPr>
              <w:t>69分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中风险（R3）</w:t>
            </w:r>
          </w:p>
        </w:tc>
        <w:tc>
          <w:tcPr>
            <w:tcW w:w="4278" w:type="dxa"/>
          </w:tcPr>
          <w:p>
            <w:pPr>
              <w:jc w:val="center"/>
              <w:rPr>
                <w:rFonts w:ascii="宋体" w:hAnsi="宋体"/>
                <w:sz w:val="24"/>
              </w:rPr>
            </w:pPr>
            <w:r>
              <w:rPr>
                <w:rFonts w:hint="eastAsia" w:ascii="宋体" w:hAnsi="宋体"/>
                <w:sz w:val="24"/>
              </w:rPr>
              <w:t>70</w:t>
            </w:r>
            <w:r>
              <w:rPr>
                <w:rFonts w:ascii="宋体" w:hAnsi="宋体"/>
                <w:sz w:val="24"/>
              </w:rPr>
              <w:t>-</w:t>
            </w:r>
            <w:r>
              <w:rPr>
                <w:rFonts w:hint="eastAsia" w:ascii="宋体" w:hAnsi="宋体"/>
                <w:sz w:val="24"/>
              </w:rPr>
              <w:t>79分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中高风险（R4）</w:t>
            </w:r>
          </w:p>
        </w:tc>
        <w:tc>
          <w:tcPr>
            <w:tcW w:w="4278" w:type="dxa"/>
          </w:tcPr>
          <w:p>
            <w:pPr>
              <w:jc w:val="center"/>
              <w:rPr>
                <w:rFonts w:ascii="宋体" w:hAnsi="宋体"/>
                <w:sz w:val="24"/>
              </w:rPr>
            </w:pPr>
            <w:r>
              <w:rPr>
                <w:rFonts w:hint="eastAsia" w:ascii="宋体" w:hAnsi="宋体"/>
                <w:sz w:val="24"/>
              </w:rPr>
              <w:t>80</w:t>
            </w:r>
            <w:r>
              <w:rPr>
                <w:rFonts w:ascii="宋体" w:hAnsi="宋体"/>
                <w:sz w:val="24"/>
              </w:rPr>
              <w:t>-</w:t>
            </w:r>
            <w:r>
              <w:rPr>
                <w:rFonts w:hint="eastAsia" w:ascii="宋体" w:hAnsi="宋体"/>
                <w:sz w:val="24"/>
              </w:rPr>
              <w:t>89分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高风险（R5）</w:t>
            </w:r>
          </w:p>
        </w:tc>
        <w:tc>
          <w:tcPr>
            <w:tcW w:w="4278" w:type="dxa"/>
          </w:tcPr>
          <w:p>
            <w:pPr>
              <w:jc w:val="center"/>
              <w:rPr>
                <w:rFonts w:ascii="宋体" w:hAnsi="宋体"/>
                <w:sz w:val="24"/>
              </w:rPr>
            </w:pPr>
            <w:r>
              <w:rPr>
                <w:rFonts w:hint="eastAsia" w:ascii="宋体" w:hAnsi="宋体"/>
                <w:sz w:val="24"/>
              </w:rPr>
              <w:t>90分以上</w:t>
            </w:r>
          </w:p>
        </w:tc>
      </w:tr>
    </w:tbl>
    <w:p>
      <w:pPr>
        <w:spacing w:before="156" w:beforeLines="50" w:after="156" w:afterLines="50" w:line="240" w:lineRule="atLeast"/>
        <w:ind w:firstLine="480" w:firstLineChars="200"/>
        <w:rPr>
          <w:rFonts w:ascii="宋体" w:hAnsi="宋体"/>
          <w:sz w:val="24"/>
        </w:rPr>
      </w:pPr>
    </w:p>
    <w:p>
      <w:pPr>
        <w:pStyle w:val="16"/>
        <w:tabs>
          <w:tab w:val="left" w:pos="0"/>
        </w:tabs>
        <w:spacing w:line="600" w:lineRule="exact"/>
        <w:ind w:firstLine="600"/>
        <w:rPr>
          <w:rFonts w:ascii="仿宋" w:hAnsi="仿宋" w:eastAsia="仿宋"/>
          <w:sz w:val="30"/>
          <w:szCs w:val="30"/>
        </w:rPr>
      </w:pPr>
    </w:p>
    <w:p>
      <w:pPr>
        <w:rPr>
          <w:rFonts w:ascii="宋体" w:hAnsi="宋体"/>
          <w:b/>
          <w:sz w:val="24"/>
        </w:rPr>
      </w:pPr>
      <w:r>
        <w:rPr>
          <w:rFonts w:hint="eastAsia" w:ascii="宋体" w:hAnsi="宋体"/>
          <w:sz w:val="24"/>
        </w:rPr>
        <w:br w:type="page"/>
      </w:r>
      <w:r>
        <w:rPr>
          <w:rFonts w:hint="eastAsia" w:ascii="宋体" w:hAnsi="宋体"/>
          <w:b/>
          <w:sz w:val="24"/>
        </w:rPr>
        <w:t>附件2：</w:t>
      </w:r>
    </w:p>
    <w:p>
      <w:pPr>
        <w:spacing w:after="312" w:afterLines="100" w:line="360" w:lineRule="auto"/>
        <w:jc w:val="center"/>
        <w:rPr>
          <w:rFonts w:ascii="宋体" w:hAnsi="宋体"/>
          <w:b/>
          <w:color w:val="000000"/>
          <w:sz w:val="32"/>
          <w:szCs w:val="32"/>
        </w:rPr>
      </w:pPr>
      <w:r>
        <w:rPr>
          <w:rFonts w:hint="eastAsia" w:ascii="宋体" w:hAnsi="宋体"/>
          <w:b/>
          <w:color w:val="000000"/>
          <w:sz w:val="32"/>
          <w:szCs w:val="32"/>
        </w:rPr>
        <w:t>普通</w:t>
      </w:r>
      <w:r>
        <w:rPr>
          <w:rFonts w:ascii="宋体" w:hAnsi="宋体"/>
          <w:b/>
          <w:color w:val="000000"/>
          <w:sz w:val="32"/>
          <w:szCs w:val="32"/>
        </w:rPr>
        <w:t>产品或服务风险等级名录</w:t>
      </w:r>
    </w:p>
    <w:p>
      <w:pPr>
        <w:spacing w:line="360" w:lineRule="auto"/>
        <w:ind w:firstLine="420" w:firstLineChars="200"/>
        <w:rPr>
          <w:rFonts w:ascii="宋体" w:hAnsi="宋体"/>
          <w:color w:val="000000"/>
          <w:szCs w:val="21"/>
        </w:rPr>
      </w:pPr>
    </w:p>
    <w:p>
      <w:pPr>
        <w:spacing w:line="360" w:lineRule="auto"/>
        <w:ind w:firstLine="420" w:firstLineChars="200"/>
        <w:rPr>
          <w:rFonts w:ascii="宋体" w:hAnsi="宋体"/>
          <w:color w:val="000000"/>
          <w:szCs w:val="21"/>
        </w:rPr>
      </w:pPr>
      <w:r>
        <w:rPr>
          <w:rFonts w:hint="eastAsia" w:ascii="宋体" w:hAnsi="宋体"/>
          <w:color w:val="000000"/>
          <w:szCs w:val="21"/>
        </w:rPr>
        <w:t>公司相关产品或服务的风险等级不得低于本名录下述列示的风险等级。</w:t>
      </w:r>
    </w:p>
    <w:tbl>
      <w:tblPr>
        <w:tblStyle w:val="8"/>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843" w:type="dxa"/>
          </w:tcPr>
          <w:p>
            <w:pPr>
              <w:adjustRightInd w:val="0"/>
              <w:snapToGrid w:val="0"/>
              <w:spacing w:line="360" w:lineRule="auto"/>
              <w:jc w:val="center"/>
              <w:rPr>
                <w:rFonts w:ascii="宋体" w:hAnsi="宋体" w:cs="Calibri"/>
                <w:b/>
                <w:bCs/>
                <w:color w:val="000000"/>
                <w:szCs w:val="21"/>
              </w:rPr>
            </w:pPr>
            <w:r>
              <w:rPr>
                <w:rFonts w:hint="eastAsia" w:ascii="宋体" w:hAnsi="宋体"/>
                <w:b/>
                <w:bCs/>
                <w:color w:val="000000"/>
                <w:szCs w:val="21"/>
              </w:rPr>
              <w:t>风险等级</w:t>
            </w:r>
          </w:p>
        </w:tc>
        <w:tc>
          <w:tcPr>
            <w:tcW w:w="6662" w:type="dxa"/>
          </w:tcPr>
          <w:p>
            <w:pPr>
              <w:adjustRightInd w:val="0"/>
              <w:snapToGrid w:val="0"/>
              <w:spacing w:line="360" w:lineRule="auto"/>
              <w:jc w:val="center"/>
              <w:rPr>
                <w:rFonts w:ascii="宋体" w:hAnsi="宋体"/>
                <w:b/>
                <w:bCs/>
                <w:color w:val="000000"/>
                <w:szCs w:val="21"/>
              </w:rPr>
            </w:pPr>
            <w:r>
              <w:rPr>
                <w:rFonts w:hint="eastAsia" w:ascii="宋体" w:hAnsi="宋体"/>
                <w:b/>
                <w:bCs/>
                <w:color w:val="000000"/>
                <w:szCs w:val="21"/>
              </w:rPr>
              <w:t>特征描述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843" w:type="dxa"/>
          </w:tcPr>
          <w:p>
            <w:pPr>
              <w:jc w:val="center"/>
              <w:rPr>
                <w:rFonts w:ascii="宋体" w:hAnsi="宋体"/>
                <w:sz w:val="24"/>
              </w:rPr>
            </w:pPr>
            <w:r>
              <w:rPr>
                <w:rFonts w:hint="eastAsia" w:ascii="宋体" w:hAnsi="宋体"/>
                <w:sz w:val="24"/>
              </w:rPr>
              <w:t>低风险（R1）</w:t>
            </w:r>
          </w:p>
        </w:tc>
        <w:tc>
          <w:tcPr>
            <w:tcW w:w="6662" w:type="dxa"/>
          </w:tcPr>
          <w:p>
            <w:pPr>
              <w:adjustRightInd w:val="0"/>
              <w:snapToGrid w:val="0"/>
              <w:spacing w:line="360" w:lineRule="auto"/>
              <w:rPr>
                <w:rFonts w:ascii="宋体" w:hAnsi="宋体"/>
                <w:color w:val="000000"/>
                <w:szCs w:val="21"/>
              </w:rPr>
            </w:pPr>
            <w:r>
              <w:rPr>
                <w:rFonts w:hint="eastAsia" w:ascii="宋体" w:hAnsi="宋体"/>
                <w:color w:val="000000"/>
                <w:szCs w:val="21"/>
              </w:rPr>
              <w:t>结构简单，容易理解，流动性高，本金遭受损失的可能性极低</w:t>
            </w:r>
          </w:p>
          <w:p>
            <w:pPr>
              <w:adjustRightInd w:val="0"/>
              <w:snapToGrid w:val="0"/>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843" w:type="dxa"/>
          </w:tcPr>
          <w:p>
            <w:pPr>
              <w:jc w:val="center"/>
              <w:rPr>
                <w:rFonts w:ascii="宋体" w:hAnsi="宋体"/>
                <w:sz w:val="24"/>
              </w:rPr>
            </w:pPr>
            <w:r>
              <w:rPr>
                <w:rFonts w:hint="eastAsia" w:ascii="宋体" w:hAnsi="宋体"/>
                <w:sz w:val="24"/>
              </w:rPr>
              <w:t>中低风险（R2）</w:t>
            </w:r>
          </w:p>
        </w:tc>
        <w:tc>
          <w:tcPr>
            <w:tcW w:w="6662" w:type="dxa"/>
          </w:tcPr>
          <w:p>
            <w:pPr>
              <w:adjustRightInd w:val="0"/>
              <w:snapToGrid w:val="0"/>
              <w:spacing w:line="360" w:lineRule="auto"/>
              <w:rPr>
                <w:rFonts w:ascii="宋体" w:hAnsi="宋体"/>
                <w:color w:val="000000"/>
                <w:szCs w:val="21"/>
              </w:rPr>
            </w:pPr>
            <w:r>
              <w:rPr>
                <w:rFonts w:hint="eastAsia" w:ascii="宋体" w:hAnsi="宋体"/>
                <w:color w:val="000000"/>
                <w:szCs w:val="21"/>
              </w:rPr>
              <w:t>结构简单，容易理解，流动性较高，本金遭受损失的可能性较低</w:t>
            </w:r>
          </w:p>
          <w:p>
            <w:pPr>
              <w:adjustRightInd w:val="0"/>
              <w:snapToGrid w:val="0"/>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843" w:type="dxa"/>
          </w:tcPr>
          <w:p>
            <w:pPr>
              <w:jc w:val="center"/>
              <w:rPr>
                <w:rFonts w:ascii="宋体" w:hAnsi="宋体"/>
                <w:sz w:val="24"/>
              </w:rPr>
            </w:pPr>
            <w:r>
              <w:rPr>
                <w:rFonts w:hint="eastAsia" w:ascii="宋体" w:hAnsi="宋体"/>
                <w:sz w:val="24"/>
              </w:rPr>
              <w:t>中风险（R3）</w:t>
            </w:r>
          </w:p>
        </w:tc>
        <w:tc>
          <w:tcPr>
            <w:tcW w:w="6662" w:type="dxa"/>
          </w:tcPr>
          <w:p>
            <w:pPr>
              <w:adjustRightInd w:val="0"/>
              <w:snapToGrid w:val="0"/>
              <w:spacing w:line="360" w:lineRule="auto"/>
              <w:rPr>
                <w:rFonts w:ascii="宋体" w:hAnsi="宋体"/>
                <w:szCs w:val="21"/>
              </w:rPr>
            </w:pPr>
            <w:r>
              <w:rPr>
                <w:rFonts w:hint="eastAsia" w:ascii="宋体" w:hAnsi="宋体"/>
                <w:color w:val="000000"/>
                <w:szCs w:val="21"/>
              </w:rPr>
              <w:t>结构较复杂，流动性较高，本金安全具有一定的不确定性，在特殊情况下可能损失全部本金</w:t>
            </w:r>
          </w:p>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43" w:type="dxa"/>
          </w:tcPr>
          <w:p>
            <w:pPr>
              <w:jc w:val="center"/>
              <w:rPr>
                <w:rFonts w:ascii="宋体" w:hAnsi="宋体"/>
                <w:sz w:val="24"/>
              </w:rPr>
            </w:pPr>
            <w:r>
              <w:rPr>
                <w:rFonts w:hint="eastAsia" w:ascii="宋体" w:hAnsi="宋体"/>
                <w:sz w:val="24"/>
              </w:rPr>
              <w:t>中高风险（R4）</w:t>
            </w:r>
          </w:p>
        </w:tc>
        <w:tc>
          <w:tcPr>
            <w:tcW w:w="6662" w:type="dxa"/>
          </w:tcPr>
          <w:p>
            <w:pPr>
              <w:adjustRightInd w:val="0"/>
              <w:snapToGrid w:val="0"/>
              <w:spacing w:line="360" w:lineRule="auto"/>
              <w:rPr>
                <w:rFonts w:ascii="宋体" w:hAnsi="宋体"/>
                <w:szCs w:val="21"/>
              </w:rPr>
            </w:pPr>
            <w:r>
              <w:rPr>
                <w:rFonts w:hint="eastAsia" w:ascii="宋体" w:hAnsi="宋体"/>
                <w:color w:val="000000"/>
                <w:szCs w:val="21"/>
              </w:rPr>
              <w:t>结构复杂，流动性较低，本金安全面临较大的不确定性，可能损失全部本金</w:t>
            </w:r>
          </w:p>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43" w:type="dxa"/>
          </w:tcPr>
          <w:p>
            <w:pPr>
              <w:jc w:val="center"/>
              <w:rPr>
                <w:rFonts w:ascii="宋体" w:hAnsi="宋体"/>
                <w:sz w:val="24"/>
              </w:rPr>
            </w:pPr>
            <w:r>
              <w:rPr>
                <w:rFonts w:hint="eastAsia" w:ascii="宋体" w:hAnsi="宋体"/>
                <w:sz w:val="24"/>
              </w:rPr>
              <w:t>高风险（R5）</w:t>
            </w:r>
          </w:p>
        </w:tc>
        <w:tc>
          <w:tcPr>
            <w:tcW w:w="6662" w:type="dxa"/>
          </w:tcPr>
          <w:p>
            <w:pPr>
              <w:adjustRightInd w:val="0"/>
              <w:snapToGrid w:val="0"/>
              <w:spacing w:line="360" w:lineRule="auto"/>
              <w:rPr>
                <w:rFonts w:ascii="宋体" w:hAnsi="宋体"/>
                <w:color w:val="000000"/>
                <w:szCs w:val="21"/>
              </w:rPr>
            </w:pPr>
            <w:r>
              <w:rPr>
                <w:rFonts w:hint="eastAsia" w:ascii="宋体" w:hAnsi="宋体"/>
                <w:color w:val="000000"/>
                <w:szCs w:val="21"/>
              </w:rPr>
              <w:t>结构复杂，不易理解，不易估值、流动性低、透明度较低，本金安全面临极大的不确定性，甚至损失可能超过本金</w:t>
            </w:r>
          </w:p>
          <w:p>
            <w:pPr>
              <w:adjustRightInd w:val="0"/>
              <w:snapToGrid w:val="0"/>
              <w:spacing w:line="360" w:lineRule="auto"/>
              <w:rPr>
                <w:rFonts w:ascii="宋体" w:hAnsi="宋体"/>
                <w:color w:val="000000"/>
                <w:szCs w:val="21"/>
              </w:rPr>
            </w:pPr>
          </w:p>
        </w:tc>
      </w:tr>
    </w:tbl>
    <w:p>
      <w:pPr>
        <w:spacing w:line="240" w:lineRule="atLeast"/>
        <w:rPr>
          <w:rFonts w:ascii="宋体" w:hAnsi="宋体"/>
          <w:color w:val="000000"/>
          <w:szCs w:val="21"/>
        </w:rPr>
      </w:pPr>
    </w:p>
    <w:p>
      <w:pPr>
        <w:widowControl/>
        <w:jc w:val="left"/>
        <w:rPr>
          <w:rFonts w:ascii="宋体" w:hAnsi="宋体"/>
          <w:color w:val="000000"/>
          <w:szCs w:val="21"/>
        </w:rPr>
      </w:pPr>
      <w:r>
        <w:rPr>
          <w:rFonts w:ascii="宋体" w:hAnsi="宋体"/>
          <w:color w:val="000000"/>
          <w:szCs w:val="21"/>
        </w:rPr>
        <w:br w:type="page"/>
      </w:r>
    </w:p>
    <w:p>
      <w:pPr>
        <w:rPr>
          <w:rFonts w:ascii="宋体" w:hAnsi="宋体"/>
          <w:b/>
          <w:sz w:val="24"/>
        </w:rPr>
      </w:pPr>
      <w:r>
        <w:rPr>
          <w:rFonts w:hint="eastAsia" w:ascii="宋体" w:hAnsi="宋体"/>
          <w:b/>
          <w:sz w:val="24"/>
        </w:rPr>
        <w:t>附件3：</w:t>
      </w:r>
    </w:p>
    <w:p>
      <w:pPr>
        <w:spacing w:line="240" w:lineRule="atLeast"/>
        <w:jc w:val="center"/>
        <w:rPr>
          <w:rFonts w:ascii="宋体" w:hAnsi="宋体"/>
          <w:b/>
          <w:sz w:val="24"/>
        </w:rPr>
      </w:pPr>
      <w:r>
        <w:rPr>
          <w:rFonts w:hint="eastAsia" w:ascii="宋体" w:hAnsi="宋体"/>
          <w:b/>
          <w:sz w:val="24"/>
        </w:rPr>
        <w:t>基金产品或服务风险等级评估表</w:t>
      </w:r>
    </w:p>
    <w:p>
      <w:pPr>
        <w:spacing w:line="240" w:lineRule="atLeast"/>
        <w:rPr>
          <w:rFonts w:ascii="宋体" w:hAnsi="宋体"/>
          <w:sz w:val="24"/>
        </w:rPr>
      </w:pPr>
    </w:p>
    <w:p>
      <w:pPr>
        <w:spacing w:line="240" w:lineRule="atLeast"/>
        <w:ind w:firstLine="480" w:firstLineChars="200"/>
        <w:rPr>
          <w:rFonts w:ascii="宋体" w:hAnsi="宋体"/>
          <w:sz w:val="24"/>
        </w:rPr>
      </w:pPr>
      <w:r>
        <w:rPr>
          <w:rFonts w:hint="eastAsia" w:ascii="宋体" w:hAnsi="宋体"/>
          <w:sz w:val="24"/>
        </w:rPr>
        <w:t>本表仅供公司内部使用。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50"/>
        <w:gridCol w:w="3687"/>
        <w:gridCol w:w="708"/>
        <w:gridCol w:w="709"/>
        <w:gridCol w:w="709"/>
        <w:gridCol w:w="7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D9D9D9"/>
          </w:tcPr>
          <w:p>
            <w:pPr>
              <w:spacing w:line="240" w:lineRule="atLeast"/>
              <w:rPr>
                <w:rFonts w:ascii="宋体" w:hAnsi="宋体"/>
                <w:szCs w:val="21"/>
              </w:rPr>
            </w:pPr>
            <w:r>
              <w:rPr>
                <w:rFonts w:hint="eastAsia" w:ascii="宋体" w:hAnsi="宋体"/>
                <w:szCs w:val="21"/>
              </w:rPr>
              <w:t>产品或服务名称及编号</w:t>
            </w:r>
          </w:p>
        </w:tc>
        <w:tc>
          <w:tcPr>
            <w:tcW w:w="6572" w:type="dxa"/>
            <w:gridSpan w:val="5"/>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D9D9D9"/>
          </w:tcPr>
          <w:p>
            <w:pPr>
              <w:spacing w:line="240" w:lineRule="atLeast"/>
              <w:rPr>
                <w:rFonts w:ascii="宋体" w:hAnsi="宋体"/>
                <w:szCs w:val="21"/>
              </w:rPr>
            </w:pPr>
            <w:r>
              <w:rPr>
                <w:rFonts w:hint="eastAsia" w:ascii="宋体" w:hAnsi="宋体"/>
                <w:szCs w:val="21"/>
              </w:rPr>
              <w:t>提请评估产品或服务的部门</w:t>
            </w:r>
          </w:p>
        </w:tc>
        <w:tc>
          <w:tcPr>
            <w:tcW w:w="6572" w:type="dxa"/>
            <w:gridSpan w:val="5"/>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D9D9D9"/>
          </w:tcPr>
          <w:p>
            <w:pPr>
              <w:spacing w:line="240" w:lineRule="atLeast"/>
              <w:rPr>
                <w:rFonts w:ascii="宋体" w:hAnsi="宋体"/>
                <w:szCs w:val="21"/>
              </w:rPr>
            </w:pPr>
            <w:r>
              <w:rPr>
                <w:rFonts w:hint="eastAsia" w:ascii="宋体" w:hAnsi="宋体"/>
                <w:szCs w:val="21"/>
              </w:rPr>
              <w:t>产品或服务是否由本公司发行</w:t>
            </w:r>
          </w:p>
        </w:tc>
        <w:tc>
          <w:tcPr>
            <w:tcW w:w="6572" w:type="dxa"/>
            <w:gridSpan w:val="5"/>
          </w:tcPr>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 是，发行部门为【   】</w:t>
            </w:r>
          </w:p>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 否，系代销【机构名称】提供的产品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D9D9D9"/>
          </w:tcPr>
          <w:p>
            <w:pPr>
              <w:spacing w:line="240" w:lineRule="atLeast"/>
              <w:rPr>
                <w:rFonts w:ascii="宋体" w:hAnsi="宋体"/>
                <w:szCs w:val="21"/>
              </w:rPr>
            </w:pPr>
            <w:r>
              <w:rPr>
                <w:rFonts w:hint="eastAsia" w:ascii="宋体" w:hAnsi="宋体"/>
                <w:szCs w:val="21"/>
              </w:rPr>
              <w:t>是否为复杂或高风险金融产品</w:t>
            </w:r>
          </w:p>
        </w:tc>
        <w:tc>
          <w:tcPr>
            <w:tcW w:w="6572" w:type="dxa"/>
            <w:gridSpan w:val="5"/>
            <w:tcBorders>
              <w:bottom w:val="single" w:color="auto" w:sz="6" w:space="0"/>
            </w:tcBorders>
          </w:tcPr>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 是</w:t>
            </w:r>
          </w:p>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restart"/>
            <w:shd w:val="clear" w:color="auto" w:fill="D9D9D9"/>
            <w:vAlign w:val="center"/>
          </w:tcPr>
          <w:p>
            <w:pPr>
              <w:spacing w:line="240" w:lineRule="atLeast"/>
              <w:jc w:val="left"/>
              <w:rPr>
                <w:rFonts w:ascii="宋体" w:hAnsi="宋体"/>
                <w:szCs w:val="21"/>
              </w:rPr>
            </w:pPr>
            <w:r>
              <w:rPr>
                <w:rFonts w:hint="eastAsia" w:ascii="宋体" w:hAnsi="宋体"/>
                <w:szCs w:val="21"/>
              </w:rPr>
              <w:t>评估因素及得分</w:t>
            </w:r>
          </w:p>
        </w:tc>
        <w:tc>
          <w:tcPr>
            <w:tcW w:w="3687" w:type="dxa"/>
            <w:tcBorders>
              <w:top w:val="single" w:color="auto" w:sz="6" w:space="0"/>
              <w:bottom w:val="single" w:color="auto" w:sz="6" w:space="0"/>
              <w:right w:val="single" w:color="auto" w:sz="4" w:space="0"/>
            </w:tcBorders>
            <w:shd w:val="clear" w:color="auto" w:fill="BEBEBE" w:themeFill="background1" w:themeFillShade="BF"/>
            <w:vAlign w:val="center"/>
          </w:tcPr>
          <w:p>
            <w:pPr>
              <w:spacing w:line="240" w:lineRule="atLeast"/>
              <w:ind w:left="420"/>
              <w:jc w:val="center"/>
              <w:rPr>
                <w:rFonts w:ascii="宋体" w:hAnsi="宋体"/>
                <w:szCs w:val="21"/>
              </w:rPr>
            </w:pPr>
            <w:r>
              <w:rPr>
                <w:rFonts w:hint="eastAsia" w:ascii="宋体" w:hAnsi="宋体"/>
                <w:szCs w:val="21"/>
              </w:rPr>
              <w:t>评估因素</w:t>
            </w:r>
          </w:p>
        </w:tc>
        <w:tc>
          <w:tcPr>
            <w:tcW w:w="708" w:type="dxa"/>
            <w:tcBorders>
              <w:top w:val="single" w:color="auto" w:sz="6" w:space="0"/>
              <w:left w:val="single" w:color="auto" w:sz="4" w:space="0"/>
              <w:bottom w:val="single" w:color="auto" w:sz="6" w:space="0"/>
              <w:right w:val="single" w:color="auto" w:sz="4" w:space="0"/>
            </w:tcBorders>
            <w:shd w:val="clear" w:color="auto" w:fill="BEBEBE" w:themeFill="background1" w:themeFillShade="BF"/>
            <w:vAlign w:val="center"/>
          </w:tcPr>
          <w:p>
            <w:pPr>
              <w:spacing w:line="240" w:lineRule="atLeast"/>
              <w:jc w:val="center"/>
              <w:rPr>
                <w:rFonts w:ascii="宋体" w:hAnsi="宋体"/>
                <w:szCs w:val="21"/>
              </w:rPr>
            </w:pPr>
            <w:r>
              <w:rPr>
                <w:rFonts w:hint="eastAsia" w:ascii="宋体" w:hAnsi="宋体"/>
                <w:szCs w:val="21"/>
              </w:rPr>
              <w:t>分值</w:t>
            </w:r>
          </w:p>
        </w:tc>
        <w:tc>
          <w:tcPr>
            <w:tcW w:w="709" w:type="dxa"/>
            <w:tcBorders>
              <w:top w:val="single" w:color="auto" w:sz="6" w:space="0"/>
              <w:left w:val="single" w:color="auto" w:sz="4" w:space="0"/>
              <w:bottom w:val="single" w:color="auto" w:sz="6" w:space="0"/>
              <w:right w:val="single" w:color="auto" w:sz="4" w:space="0"/>
            </w:tcBorders>
            <w:shd w:val="clear" w:color="auto" w:fill="BEBEBE" w:themeFill="background1" w:themeFillShade="BF"/>
            <w:vAlign w:val="center"/>
          </w:tcPr>
          <w:p>
            <w:pPr>
              <w:spacing w:line="240" w:lineRule="atLeast"/>
              <w:jc w:val="center"/>
              <w:rPr>
                <w:rFonts w:ascii="宋体" w:hAnsi="宋体"/>
                <w:szCs w:val="21"/>
              </w:rPr>
            </w:pPr>
            <w:r>
              <w:rPr>
                <w:rFonts w:hint="eastAsia" w:ascii="宋体" w:hAnsi="宋体"/>
                <w:szCs w:val="21"/>
              </w:rPr>
              <w:t>初评</w:t>
            </w:r>
          </w:p>
        </w:tc>
        <w:tc>
          <w:tcPr>
            <w:tcW w:w="709" w:type="dxa"/>
            <w:tcBorders>
              <w:top w:val="single" w:color="auto" w:sz="6" w:space="0"/>
              <w:left w:val="single" w:color="auto" w:sz="4" w:space="0"/>
              <w:bottom w:val="single" w:color="auto" w:sz="6" w:space="0"/>
              <w:right w:val="single" w:color="auto" w:sz="4" w:space="0"/>
            </w:tcBorders>
            <w:shd w:val="clear" w:color="auto" w:fill="BEBEBE" w:themeFill="background1" w:themeFillShade="BF"/>
            <w:vAlign w:val="center"/>
          </w:tcPr>
          <w:p>
            <w:pPr>
              <w:spacing w:line="240" w:lineRule="atLeast"/>
              <w:jc w:val="center"/>
              <w:rPr>
                <w:rFonts w:ascii="宋体" w:hAnsi="宋体"/>
                <w:szCs w:val="21"/>
              </w:rPr>
            </w:pPr>
            <w:r>
              <w:rPr>
                <w:rFonts w:hint="eastAsia" w:ascii="宋体" w:hAnsi="宋体"/>
                <w:szCs w:val="21"/>
              </w:rPr>
              <w:t>复评</w:t>
            </w:r>
          </w:p>
        </w:tc>
        <w:tc>
          <w:tcPr>
            <w:tcW w:w="759" w:type="dxa"/>
            <w:tcBorders>
              <w:top w:val="single" w:color="auto" w:sz="6" w:space="0"/>
              <w:left w:val="single" w:color="auto" w:sz="4" w:space="0"/>
              <w:bottom w:val="single" w:color="auto" w:sz="6" w:space="0"/>
            </w:tcBorders>
            <w:shd w:val="clear" w:color="auto" w:fill="BEBEBE" w:themeFill="background1" w:themeFillShade="BF"/>
            <w:vAlign w:val="center"/>
          </w:tcPr>
          <w:p>
            <w:pPr>
              <w:spacing w:line="240" w:lineRule="atLeast"/>
              <w:jc w:val="center"/>
              <w:rPr>
                <w:rFonts w:ascii="宋体" w:hAnsi="宋体"/>
                <w:szCs w:val="21"/>
              </w:rPr>
            </w:pPr>
            <w:r>
              <w:rPr>
                <w:rFonts w:hint="eastAsia" w:ascii="宋体" w:hAnsi="宋体"/>
                <w:szCs w:val="21"/>
              </w:rPr>
              <w:t>总分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vAlign w:val="center"/>
          </w:tcPr>
          <w:p>
            <w:pPr>
              <w:spacing w:line="240" w:lineRule="atLeast"/>
              <w:jc w:val="left"/>
              <w:rPr>
                <w:rFonts w:ascii="宋体" w:hAnsi="宋体"/>
                <w:szCs w:val="21"/>
              </w:rPr>
            </w:pPr>
          </w:p>
        </w:tc>
        <w:tc>
          <w:tcPr>
            <w:tcW w:w="3687" w:type="dxa"/>
            <w:tcBorders>
              <w:top w:val="single" w:color="auto" w:sz="6" w:space="0"/>
              <w:right w:val="single" w:color="auto" w:sz="4" w:space="0"/>
            </w:tcBorders>
          </w:tcPr>
          <w:p>
            <w:pPr>
              <w:numPr>
                <w:ilvl w:val="0"/>
                <w:numId w:val="2"/>
              </w:numPr>
              <w:spacing w:line="240" w:lineRule="atLeast"/>
              <w:rPr>
                <w:rFonts w:ascii="宋体" w:hAnsi="宋体"/>
                <w:szCs w:val="21"/>
              </w:rPr>
            </w:pPr>
            <w:r>
              <w:rPr>
                <w:rFonts w:hint="eastAsia" w:ascii="宋体" w:hAnsi="宋体"/>
                <w:szCs w:val="21"/>
              </w:rPr>
              <w:t>基金管理人的诚信状况、经营管理能力、投资管理能力、内部控制情况、合法合规情况。</w:t>
            </w:r>
          </w:p>
        </w:tc>
        <w:tc>
          <w:tcPr>
            <w:tcW w:w="708" w:type="dxa"/>
            <w:tcBorders>
              <w:top w:val="single" w:color="auto" w:sz="6" w:space="0"/>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20分</w:t>
            </w:r>
          </w:p>
        </w:tc>
        <w:tc>
          <w:tcPr>
            <w:tcW w:w="709" w:type="dxa"/>
            <w:tcBorders>
              <w:top w:val="single" w:color="auto" w:sz="6" w:space="0"/>
              <w:left w:val="single" w:color="auto" w:sz="4" w:space="0"/>
              <w:right w:val="single" w:color="auto" w:sz="4" w:space="0"/>
            </w:tcBorders>
            <w:vAlign w:val="center"/>
          </w:tcPr>
          <w:p>
            <w:pPr>
              <w:spacing w:line="240" w:lineRule="atLeast"/>
              <w:jc w:val="center"/>
              <w:rPr>
                <w:rFonts w:ascii="宋体" w:hAnsi="宋体"/>
                <w:szCs w:val="21"/>
              </w:rPr>
            </w:pPr>
          </w:p>
        </w:tc>
        <w:tc>
          <w:tcPr>
            <w:tcW w:w="709" w:type="dxa"/>
            <w:tcBorders>
              <w:top w:val="single" w:color="auto" w:sz="6" w:space="0"/>
              <w:left w:val="single" w:color="auto" w:sz="4" w:space="0"/>
              <w:right w:val="single" w:color="auto" w:sz="4" w:space="0"/>
            </w:tcBorders>
            <w:vAlign w:val="center"/>
          </w:tcPr>
          <w:p>
            <w:pPr>
              <w:spacing w:line="240" w:lineRule="atLeast"/>
              <w:jc w:val="center"/>
              <w:rPr>
                <w:rFonts w:ascii="宋体" w:hAnsi="宋体"/>
                <w:szCs w:val="21"/>
              </w:rPr>
            </w:pPr>
          </w:p>
        </w:tc>
        <w:tc>
          <w:tcPr>
            <w:tcW w:w="759" w:type="dxa"/>
            <w:vMerge w:val="restart"/>
            <w:tcBorders>
              <w:top w:val="single" w:color="auto" w:sz="6" w:space="0"/>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687" w:type="dxa"/>
            <w:tcBorders>
              <w:right w:val="single" w:color="auto" w:sz="4" w:space="0"/>
            </w:tcBorders>
          </w:tcPr>
          <w:p>
            <w:pPr>
              <w:numPr>
                <w:ilvl w:val="0"/>
                <w:numId w:val="2"/>
              </w:numPr>
              <w:spacing w:line="240" w:lineRule="atLeast"/>
              <w:rPr>
                <w:rFonts w:ascii="宋体" w:hAnsi="宋体"/>
                <w:szCs w:val="21"/>
              </w:rPr>
            </w:pPr>
            <w:r>
              <w:rPr>
                <w:rFonts w:hint="eastAsia" w:ascii="宋体" w:hAnsi="宋体"/>
                <w:szCs w:val="21"/>
              </w:rPr>
              <w:t>基金产品或者服务的合法合规情况，发行方式，类型及组织形式，托管情况，投资范围、投资策略和投资限制概况，业绩比较基准，收益与风险的匹配情况，投资者承担的主要费用及费率。</w:t>
            </w:r>
          </w:p>
        </w:tc>
        <w:tc>
          <w:tcPr>
            <w:tcW w:w="708"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20分</w:t>
            </w:r>
          </w:p>
        </w:tc>
        <w:tc>
          <w:tcPr>
            <w:tcW w:w="709" w:type="dxa"/>
            <w:tcBorders>
              <w:left w:val="single" w:color="auto" w:sz="4" w:space="0"/>
              <w:right w:val="single" w:color="auto" w:sz="4" w:space="0"/>
            </w:tcBorders>
            <w:vAlign w:val="center"/>
          </w:tcPr>
          <w:p>
            <w:pPr>
              <w:spacing w:line="240" w:lineRule="atLeast"/>
              <w:jc w:val="center"/>
              <w:rPr>
                <w:rFonts w:ascii="宋体" w:hAnsi="宋体"/>
                <w:szCs w:val="21"/>
              </w:rPr>
            </w:pPr>
          </w:p>
        </w:tc>
        <w:tc>
          <w:tcPr>
            <w:tcW w:w="709" w:type="dxa"/>
            <w:tcBorders>
              <w:left w:val="single" w:color="auto" w:sz="4" w:space="0"/>
              <w:right w:val="single" w:color="auto" w:sz="4" w:space="0"/>
            </w:tcBorders>
            <w:vAlign w:val="center"/>
          </w:tcPr>
          <w:p>
            <w:pPr>
              <w:spacing w:line="240" w:lineRule="atLeast"/>
              <w:jc w:val="center"/>
              <w:rPr>
                <w:rFonts w:ascii="宋体" w:hAnsi="宋体"/>
                <w:szCs w:val="21"/>
              </w:rPr>
            </w:pPr>
          </w:p>
        </w:tc>
        <w:tc>
          <w:tcPr>
            <w:tcW w:w="759"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687" w:type="dxa"/>
            <w:tcBorders>
              <w:right w:val="single" w:color="auto" w:sz="4" w:space="0"/>
            </w:tcBorders>
          </w:tcPr>
          <w:p>
            <w:pPr>
              <w:numPr>
                <w:ilvl w:val="0"/>
                <w:numId w:val="2"/>
              </w:numPr>
              <w:spacing w:line="240" w:lineRule="atLeast"/>
              <w:rPr>
                <w:rFonts w:ascii="宋体" w:hAnsi="宋体"/>
                <w:szCs w:val="21"/>
              </w:rPr>
            </w:pPr>
            <w:r>
              <w:rPr>
                <w:rFonts w:hint="eastAsia" w:ascii="宋体" w:hAnsi="宋体"/>
                <w:szCs w:val="21"/>
              </w:rPr>
              <w:t>基金管理人成立时间，治理结构，资本金规模，管理基金规模，投研团队稳定性，资产配置能力、内部控制制度健全性及执行度，风险控制完备性，是否有风险准备金制度安排，从业人员合规性，股东、高级管理人员及基金经理的稳定性等。</w:t>
            </w:r>
          </w:p>
        </w:tc>
        <w:tc>
          <w:tcPr>
            <w:tcW w:w="708"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20分</w:t>
            </w:r>
          </w:p>
        </w:tc>
        <w:tc>
          <w:tcPr>
            <w:tcW w:w="709" w:type="dxa"/>
            <w:tcBorders>
              <w:left w:val="single" w:color="auto" w:sz="4" w:space="0"/>
              <w:right w:val="single" w:color="auto" w:sz="4" w:space="0"/>
            </w:tcBorders>
            <w:vAlign w:val="center"/>
          </w:tcPr>
          <w:p>
            <w:pPr>
              <w:spacing w:line="240" w:lineRule="atLeast"/>
              <w:jc w:val="center"/>
              <w:rPr>
                <w:rFonts w:ascii="宋体" w:hAnsi="宋体"/>
                <w:szCs w:val="21"/>
              </w:rPr>
            </w:pPr>
          </w:p>
        </w:tc>
        <w:tc>
          <w:tcPr>
            <w:tcW w:w="709" w:type="dxa"/>
            <w:tcBorders>
              <w:left w:val="single" w:color="auto" w:sz="4" w:space="0"/>
              <w:right w:val="single" w:color="auto" w:sz="4" w:space="0"/>
            </w:tcBorders>
            <w:vAlign w:val="center"/>
          </w:tcPr>
          <w:p>
            <w:pPr>
              <w:spacing w:line="240" w:lineRule="atLeast"/>
              <w:jc w:val="center"/>
              <w:rPr>
                <w:rFonts w:ascii="宋体" w:hAnsi="宋体"/>
                <w:szCs w:val="21"/>
              </w:rPr>
            </w:pPr>
          </w:p>
        </w:tc>
        <w:tc>
          <w:tcPr>
            <w:tcW w:w="759"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687" w:type="dxa"/>
            <w:tcBorders>
              <w:right w:val="single" w:color="auto" w:sz="4" w:space="0"/>
            </w:tcBorders>
          </w:tcPr>
          <w:p>
            <w:pPr>
              <w:numPr>
                <w:ilvl w:val="0"/>
                <w:numId w:val="2"/>
              </w:numPr>
              <w:spacing w:line="240" w:lineRule="atLeast"/>
              <w:rPr>
                <w:rFonts w:ascii="宋体" w:hAnsi="宋体"/>
                <w:szCs w:val="21"/>
              </w:rPr>
            </w:pPr>
            <w:r>
              <w:rPr>
                <w:rFonts w:hint="eastAsia" w:ascii="宋体" w:hAnsi="宋体"/>
                <w:szCs w:val="21"/>
              </w:rPr>
              <w:t>基金产品或者服务的构架（母子基金、平行基金），投资方向、投资范围和投资比例，募集方式及最低认缴金额，运作方式，存续期限，过往业绩及净值的历史波动程度，成立以来有无违规行为发生，基金估值政策、程序和定价模式，申购和赎回安排，杠杆运用情况等。</w:t>
            </w:r>
          </w:p>
        </w:tc>
        <w:tc>
          <w:tcPr>
            <w:tcW w:w="708"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20分</w:t>
            </w:r>
          </w:p>
        </w:tc>
        <w:tc>
          <w:tcPr>
            <w:tcW w:w="709" w:type="dxa"/>
            <w:tcBorders>
              <w:left w:val="single" w:color="auto" w:sz="4" w:space="0"/>
              <w:right w:val="single" w:color="auto" w:sz="4" w:space="0"/>
            </w:tcBorders>
            <w:vAlign w:val="center"/>
          </w:tcPr>
          <w:p>
            <w:pPr>
              <w:spacing w:line="240" w:lineRule="atLeast"/>
              <w:jc w:val="center"/>
              <w:rPr>
                <w:rFonts w:ascii="宋体" w:hAnsi="宋体"/>
                <w:szCs w:val="21"/>
              </w:rPr>
            </w:pPr>
          </w:p>
        </w:tc>
        <w:tc>
          <w:tcPr>
            <w:tcW w:w="709" w:type="dxa"/>
            <w:tcBorders>
              <w:left w:val="single" w:color="auto" w:sz="4" w:space="0"/>
              <w:right w:val="single" w:color="auto" w:sz="4" w:space="0"/>
            </w:tcBorders>
            <w:vAlign w:val="center"/>
          </w:tcPr>
          <w:p>
            <w:pPr>
              <w:spacing w:line="240" w:lineRule="atLeast"/>
              <w:jc w:val="center"/>
              <w:rPr>
                <w:rFonts w:ascii="宋体" w:hAnsi="宋体"/>
                <w:szCs w:val="21"/>
              </w:rPr>
            </w:pPr>
          </w:p>
        </w:tc>
        <w:tc>
          <w:tcPr>
            <w:tcW w:w="759"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687" w:type="dxa"/>
            <w:tcBorders>
              <w:right w:val="single" w:color="auto" w:sz="4" w:space="0"/>
            </w:tcBorders>
          </w:tcPr>
          <w:p>
            <w:pPr>
              <w:numPr>
                <w:ilvl w:val="0"/>
                <w:numId w:val="2"/>
              </w:numPr>
              <w:spacing w:line="240" w:lineRule="atLeast"/>
              <w:rPr>
                <w:rFonts w:ascii="宋体" w:hAnsi="宋体"/>
                <w:szCs w:val="21"/>
              </w:rPr>
            </w:pPr>
            <w:r>
              <w:rPr>
                <w:rFonts w:hint="eastAsia" w:ascii="宋体" w:hAnsi="宋体"/>
                <w:szCs w:val="21"/>
              </w:rPr>
              <w:t>其他因素</w:t>
            </w:r>
          </w:p>
        </w:tc>
        <w:tc>
          <w:tcPr>
            <w:tcW w:w="708"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20分</w:t>
            </w:r>
          </w:p>
        </w:tc>
        <w:tc>
          <w:tcPr>
            <w:tcW w:w="709" w:type="dxa"/>
            <w:tcBorders>
              <w:left w:val="single" w:color="auto" w:sz="4" w:space="0"/>
              <w:right w:val="single" w:color="auto" w:sz="4" w:space="0"/>
            </w:tcBorders>
            <w:vAlign w:val="center"/>
          </w:tcPr>
          <w:p>
            <w:pPr>
              <w:spacing w:line="240" w:lineRule="atLeast"/>
              <w:jc w:val="center"/>
              <w:rPr>
                <w:rFonts w:ascii="宋体" w:hAnsi="宋体"/>
                <w:szCs w:val="21"/>
              </w:rPr>
            </w:pPr>
          </w:p>
        </w:tc>
        <w:tc>
          <w:tcPr>
            <w:tcW w:w="709" w:type="dxa"/>
            <w:tcBorders>
              <w:left w:val="single" w:color="auto" w:sz="4" w:space="0"/>
              <w:right w:val="single" w:color="auto" w:sz="4" w:space="0"/>
            </w:tcBorders>
            <w:vAlign w:val="center"/>
          </w:tcPr>
          <w:p>
            <w:pPr>
              <w:spacing w:line="240" w:lineRule="atLeast"/>
              <w:jc w:val="center"/>
              <w:rPr>
                <w:rFonts w:ascii="宋体" w:hAnsi="宋体"/>
                <w:szCs w:val="21"/>
              </w:rPr>
            </w:pPr>
          </w:p>
        </w:tc>
        <w:tc>
          <w:tcPr>
            <w:tcW w:w="759"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1950" w:type="dxa"/>
            <w:shd w:val="clear" w:color="auto" w:fill="E0E0E0"/>
          </w:tcPr>
          <w:p>
            <w:pPr>
              <w:spacing w:line="240" w:lineRule="atLeast"/>
              <w:rPr>
                <w:rFonts w:ascii="宋体" w:hAnsi="宋体"/>
                <w:szCs w:val="21"/>
              </w:rPr>
            </w:pPr>
            <w:r>
              <w:rPr>
                <w:rFonts w:hint="eastAsia" w:ascii="宋体" w:hAnsi="宋体"/>
                <w:szCs w:val="21"/>
              </w:rPr>
              <w:t>参与评估的部门及人员</w:t>
            </w:r>
          </w:p>
        </w:tc>
        <w:tc>
          <w:tcPr>
            <w:tcW w:w="6572" w:type="dxa"/>
            <w:gridSpan w:val="5"/>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E0E0E0"/>
          </w:tcPr>
          <w:p>
            <w:pPr>
              <w:spacing w:line="240" w:lineRule="atLeast"/>
              <w:rPr>
                <w:rFonts w:ascii="宋体" w:hAnsi="宋体"/>
                <w:szCs w:val="21"/>
              </w:rPr>
            </w:pPr>
            <w:r>
              <w:rPr>
                <w:rFonts w:hint="eastAsia" w:ascii="宋体" w:hAnsi="宋体"/>
                <w:szCs w:val="21"/>
              </w:rPr>
              <w:t>产品或服务风险等级</w:t>
            </w:r>
          </w:p>
        </w:tc>
        <w:tc>
          <w:tcPr>
            <w:tcW w:w="6572" w:type="dxa"/>
            <w:gridSpan w:val="5"/>
          </w:tcPr>
          <w:p>
            <w:pPr>
              <w:spacing w:line="240" w:lineRule="atLeast"/>
              <w:rPr>
                <w:rFonts w:ascii="宋体" w:hAnsi="宋体"/>
                <w:szCs w:val="21"/>
              </w:rPr>
            </w:pPr>
            <w:r>
              <w:rPr>
                <w:rFonts w:hint="eastAsia" w:ascii="宋体" w:hAnsi="宋体"/>
                <w:szCs w:val="21"/>
              </w:rPr>
              <w:t>经评估，本产品或服务的风险等级为：</w:t>
            </w: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低风险（R1） </w:t>
            </w:r>
            <w:r>
              <w:rPr>
                <w:rFonts w:hint="eastAsia" w:ascii="宋体" w:hAnsi="宋体"/>
                <w:szCs w:val="21"/>
              </w:rPr>
              <w:sym w:font="Wingdings" w:char="F06F"/>
            </w:r>
            <w:r>
              <w:rPr>
                <w:rFonts w:hint="eastAsia" w:ascii="宋体" w:hAnsi="宋体"/>
                <w:szCs w:val="21"/>
              </w:rPr>
              <w:t xml:space="preserve">中低风险（R2） </w:t>
            </w:r>
            <w:r>
              <w:rPr>
                <w:rFonts w:hint="eastAsia" w:ascii="宋体" w:hAnsi="宋体"/>
                <w:szCs w:val="21"/>
              </w:rPr>
              <w:sym w:font="Wingdings" w:char="F06F"/>
            </w:r>
            <w:r>
              <w:rPr>
                <w:rFonts w:hint="eastAsia" w:ascii="宋体" w:hAnsi="宋体"/>
                <w:szCs w:val="21"/>
              </w:rPr>
              <w:t xml:space="preserve">中风险（R3） </w:t>
            </w:r>
            <w:r>
              <w:rPr>
                <w:rFonts w:hint="eastAsia" w:ascii="宋体" w:hAnsi="宋体"/>
                <w:szCs w:val="21"/>
              </w:rPr>
              <w:sym w:font="Wingdings" w:char="F06F"/>
            </w:r>
            <w:r>
              <w:rPr>
                <w:rFonts w:hint="eastAsia" w:ascii="宋体" w:hAnsi="宋体"/>
                <w:szCs w:val="21"/>
              </w:rPr>
              <w:t xml:space="preserve">中高风险（R4）  </w:t>
            </w:r>
            <w:r>
              <w:rPr>
                <w:rFonts w:hint="eastAsia" w:ascii="宋体" w:hAnsi="宋体"/>
                <w:szCs w:val="21"/>
              </w:rPr>
              <w:sym w:font="Wingdings" w:char="F06F"/>
            </w:r>
            <w:r>
              <w:rPr>
                <w:rFonts w:hint="eastAsia" w:ascii="宋体" w:hAnsi="宋体"/>
                <w:szCs w:val="21"/>
              </w:rPr>
              <w:t>高风险（R5）</w:t>
            </w:r>
          </w:p>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E0E0E0"/>
          </w:tcPr>
          <w:p>
            <w:pPr>
              <w:spacing w:line="240" w:lineRule="atLeast"/>
              <w:rPr>
                <w:rFonts w:ascii="宋体" w:hAnsi="宋体"/>
                <w:szCs w:val="21"/>
              </w:rPr>
            </w:pPr>
            <w:r>
              <w:rPr>
                <w:rFonts w:hint="eastAsia" w:ascii="宋体" w:hAnsi="宋体"/>
                <w:szCs w:val="21"/>
              </w:rPr>
              <w:t>产品或服务适合的对象</w:t>
            </w:r>
          </w:p>
        </w:tc>
        <w:tc>
          <w:tcPr>
            <w:tcW w:w="6572" w:type="dxa"/>
            <w:gridSpan w:val="5"/>
          </w:tcPr>
          <w:p>
            <w:pPr>
              <w:spacing w:line="240" w:lineRule="atLeast"/>
              <w:rPr>
                <w:rFonts w:ascii="宋体" w:hAnsi="宋体"/>
                <w:szCs w:val="21"/>
              </w:rPr>
            </w:pPr>
            <w:r>
              <w:rPr>
                <w:rFonts w:hint="eastAsia" w:ascii="宋体" w:hAnsi="宋体"/>
                <w:szCs w:val="21"/>
              </w:rPr>
              <w:t>经评估，本产品或服务适合的投资者风险承受能力等级为：</w:t>
            </w: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保守型（C1） </w:t>
            </w:r>
            <w:r>
              <w:rPr>
                <w:rFonts w:hint="eastAsia" w:ascii="宋体" w:hAnsi="宋体"/>
                <w:szCs w:val="21"/>
              </w:rPr>
              <w:sym w:font="Wingdings" w:char="F06F"/>
            </w:r>
            <w:r>
              <w:rPr>
                <w:rFonts w:hint="eastAsia" w:ascii="宋体" w:hAnsi="宋体"/>
                <w:szCs w:val="21"/>
              </w:rPr>
              <w:t xml:space="preserve">谨慎型（C2） </w:t>
            </w:r>
            <w:r>
              <w:rPr>
                <w:rFonts w:hint="eastAsia" w:ascii="宋体" w:hAnsi="宋体"/>
                <w:szCs w:val="21"/>
              </w:rPr>
              <w:sym w:font="Wingdings" w:char="F06F"/>
            </w:r>
            <w:r>
              <w:rPr>
                <w:rFonts w:hint="eastAsia" w:ascii="宋体" w:hAnsi="宋体"/>
                <w:szCs w:val="21"/>
              </w:rPr>
              <w:t xml:space="preserve">稳健型（C3） </w:t>
            </w:r>
            <w:r>
              <w:rPr>
                <w:rFonts w:hint="eastAsia" w:ascii="宋体" w:hAnsi="宋体"/>
                <w:szCs w:val="21"/>
              </w:rPr>
              <w:sym w:font="Wingdings" w:char="F06F"/>
            </w:r>
            <w:r>
              <w:rPr>
                <w:rFonts w:hint="eastAsia" w:ascii="宋体" w:hAnsi="宋体"/>
                <w:szCs w:val="21"/>
              </w:rPr>
              <w:t xml:space="preserve">积极型（C4） </w:t>
            </w:r>
            <w:r>
              <w:rPr>
                <w:rFonts w:hint="eastAsia" w:ascii="宋体" w:hAnsi="宋体"/>
                <w:szCs w:val="21"/>
              </w:rPr>
              <w:sym w:font="Wingdings" w:char="F06F"/>
            </w:r>
            <w:r>
              <w:rPr>
                <w:rFonts w:hint="eastAsia" w:ascii="宋体" w:hAnsi="宋体"/>
                <w:szCs w:val="21"/>
              </w:rPr>
              <w:t>激进型（C5）</w:t>
            </w:r>
          </w:p>
          <w:p>
            <w:pPr>
              <w:spacing w:line="240" w:lineRule="atLeast"/>
              <w:rPr>
                <w:rFonts w:ascii="宋体" w:hAnsi="宋体"/>
                <w:szCs w:val="21"/>
              </w:rPr>
            </w:pPr>
          </w:p>
        </w:tc>
      </w:tr>
    </w:tbl>
    <w:p>
      <w:pPr>
        <w:spacing w:line="240" w:lineRule="atLeast"/>
        <w:rPr>
          <w:rFonts w:ascii="宋体" w:hAnsi="宋体"/>
          <w:sz w:val="24"/>
        </w:rPr>
      </w:pPr>
      <w:r>
        <w:rPr>
          <w:rFonts w:hint="eastAsia" w:ascii="宋体" w:hAnsi="宋体"/>
          <w:sz w:val="24"/>
        </w:rPr>
        <w:t>附件：【</w:t>
      </w:r>
      <w:r>
        <w:rPr>
          <w:rFonts w:hint="eastAsia" w:ascii="宋体" w:hAnsi="宋体"/>
          <w:i/>
          <w:sz w:val="24"/>
        </w:rPr>
        <w:t>请列出支持性文件名称</w:t>
      </w:r>
      <w:r>
        <w:rPr>
          <w:rFonts w:hint="eastAsia" w:ascii="宋体" w:hAnsi="宋体"/>
          <w:sz w:val="24"/>
        </w:rPr>
        <w:t>】</w:t>
      </w:r>
      <w:r>
        <w:rPr>
          <w:rFonts w:ascii="宋体" w:hAnsi="宋体"/>
          <w:sz w:val="24"/>
        </w:rPr>
        <w:br w:type="page"/>
      </w:r>
    </w:p>
    <w:p>
      <w:pPr>
        <w:rPr>
          <w:rFonts w:ascii="宋体" w:hAnsi="宋体"/>
          <w:sz w:val="24"/>
        </w:rPr>
      </w:pPr>
    </w:p>
    <w:p>
      <w:pPr>
        <w:spacing w:before="156" w:beforeLines="50" w:after="156" w:afterLines="50" w:line="240" w:lineRule="atLeast"/>
        <w:jc w:val="center"/>
        <w:rPr>
          <w:rFonts w:ascii="宋体" w:hAnsi="宋体"/>
          <w:b/>
          <w:sz w:val="24"/>
        </w:rPr>
      </w:pPr>
      <w:r>
        <w:rPr>
          <w:rFonts w:hint="eastAsia" w:ascii="宋体" w:hAnsi="宋体"/>
          <w:b/>
          <w:sz w:val="24"/>
        </w:rPr>
        <w:t>附表：基金产品或服务风险等级</w:t>
      </w:r>
      <w:r>
        <w:rPr>
          <w:rFonts w:ascii="宋体" w:hAnsi="宋体"/>
          <w:b/>
          <w:sz w:val="24"/>
        </w:rPr>
        <w:t>划分标准对照表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ascii="宋体" w:hAnsi="宋体"/>
                <w:sz w:val="24"/>
              </w:rPr>
              <w:t>风险</w:t>
            </w:r>
            <w:r>
              <w:rPr>
                <w:rFonts w:hint="eastAsia" w:ascii="宋体" w:hAnsi="宋体"/>
                <w:sz w:val="24"/>
              </w:rPr>
              <w:t>等级</w:t>
            </w:r>
          </w:p>
        </w:tc>
        <w:tc>
          <w:tcPr>
            <w:tcW w:w="4278" w:type="dxa"/>
          </w:tcPr>
          <w:p>
            <w:pPr>
              <w:jc w:val="center"/>
              <w:rPr>
                <w:rFonts w:ascii="宋体" w:hAnsi="宋体"/>
                <w:sz w:val="24"/>
              </w:rPr>
            </w:pPr>
            <w:r>
              <w:rPr>
                <w:rFonts w:ascii="宋体" w:hAnsi="宋体"/>
                <w:sz w:val="24"/>
              </w:rPr>
              <w:t>分值区间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低风险（R1）</w:t>
            </w:r>
          </w:p>
        </w:tc>
        <w:tc>
          <w:tcPr>
            <w:tcW w:w="4278" w:type="dxa"/>
          </w:tcPr>
          <w:p>
            <w:pPr>
              <w:jc w:val="center"/>
              <w:rPr>
                <w:rFonts w:ascii="宋体" w:hAnsi="宋体"/>
                <w:sz w:val="24"/>
              </w:rPr>
            </w:pPr>
            <w:r>
              <w:rPr>
                <w:rFonts w:hint="eastAsia" w:ascii="宋体" w:hAnsi="宋体"/>
                <w:sz w:val="24"/>
              </w:rPr>
              <w:t>60分</w:t>
            </w:r>
            <w:r>
              <w:rPr>
                <w:rFonts w:ascii="宋体" w:hAnsi="宋体"/>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中低风险（R2）</w:t>
            </w:r>
          </w:p>
        </w:tc>
        <w:tc>
          <w:tcPr>
            <w:tcW w:w="4278" w:type="dxa"/>
          </w:tcPr>
          <w:p>
            <w:pPr>
              <w:jc w:val="center"/>
              <w:rPr>
                <w:rFonts w:ascii="宋体" w:hAnsi="宋体"/>
                <w:sz w:val="24"/>
              </w:rPr>
            </w:pPr>
            <w:r>
              <w:rPr>
                <w:rFonts w:hint="eastAsia" w:ascii="宋体" w:hAnsi="宋体"/>
                <w:sz w:val="24"/>
              </w:rPr>
              <w:t>60</w:t>
            </w:r>
            <w:r>
              <w:rPr>
                <w:rFonts w:ascii="宋体" w:hAnsi="宋体"/>
                <w:sz w:val="24"/>
              </w:rPr>
              <w:t>-</w:t>
            </w:r>
            <w:r>
              <w:rPr>
                <w:rFonts w:hint="eastAsia" w:ascii="宋体" w:hAnsi="宋体"/>
                <w:sz w:val="24"/>
              </w:rPr>
              <w:t>69分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中风险（R3）</w:t>
            </w:r>
          </w:p>
        </w:tc>
        <w:tc>
          <w:tcPr>
            <w:tcW w:w="4278" w:type="dxa"/>
          </w:tcPr>
          <w:p>
            <w:pPr>
              <w:jc w:val="center"/>
              <w:rPr>
                <w:rFonts w:ascii="宋体" w:hAnsi="宋体"/>
                <w:sz w:val="24"/>
              </w:rPr>
            </w:pPr>
            <w:r>
              <w:rPr>
                <w:rFonts w:hint="eastAsia" w:ascii="宋体" w:hAnsi="宋体"/>
                <w:sz w:val="24"/>
              </w:rPr>
              <w:t>70</w:t>
            </w:r>
            <w:r>
              <w:rPr>
                <w:rFonts w:ascii="宋体" w:hAnsi="宋体"/>
                <w:sz w:val="24"/>
              </w:rPr>
              <w:t>-</w:t>
            </w:r>
            <w:r>
              <w:rPr>
                <w:rFonts w:hint="eastAsia" w:ascii="宋体" w:hAnsi="宋体"/>
                <w:sz w:val="24"/>
              </w:rPr>
              <w:t>79分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中高风险（R4）</w:t>
            </w:r>
          </w:p>
        </w:tc>
        <w:tc>
          <w:tcPr>
            <w:tcW w:w="4278" w:type="dxa"/>
          </w:tcPr>
          <w:p>
            <w:pPr>
              <w:jc w:val="center"/>
              <w:rPr>
                <w:rFonts w:ascii="宋体" w:hAnsi="宋体"/>
                <w:sz w:val="24"/>
              </w:rPr>
            </w:pPr>
            <w:r>
              <w:rPr>
                <w:rFonts w:hint="eastAsia" w:ascii="宋体" w:hAnsi="宋体"/>
                <w:sz w:val="24"/>
              </w:rPr>
              <w:t>80</w:t>
            </w:r>
            <w:r>
              <w:rPr>
                <w:rFonts w:ascii="宋体" w:hAnsi="宋体"/>
                <w:sz w:val="24"/>
              </w:rPr>
              <w:t>-</w:t>
            </w:r>
            <w:r>
              <w:rPr>
                <w:rFonts w:hint="eastAsia" w:ascii="宋体" w:hAnsi="宋体"/>
                <w:sz w:val="24"/>
              </w:rPr>
              <w:t>89分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高风险（R5）</w:t>
            </w:r>
          </w:p>
        </w:tc>
        <w:tc>
          <w:tcPr>
            <w:tcW w:w="4278" w:type="dxa"/>
          </w:tcPr>
          <w:p>
            <w:pPr>
              <w:jc w:val="center"/>
              <w:rPr>
                <w:rFonts w:ascii="宋体" w:hAnsi="宋体"/>
                <w:sz w:val="24"/>
              </w:rPr>
            </w:pPr>
            <w:r>
              <w:rPr>
                <w:rFonts w:hint="eastAsia" w:ascii="宋体" w:hAnsi="宋体"/>
                <w:sz w:val="24"/>
              </w:rPr>
              <w:t>90分以上</w:t>
            </w:r>
          </w:p>
        </w:tc>
      </w:tr>
    </w:tbl>
    <w:p>
      <w:pPr>
        <w:spacing w:before="156" w:beforeLines="50" w:after="156" w:afterLines="50" w:line="240" w:lineRule="atLeast"/>
        <w:ind w:firstLine="480" w:firstLineChars="200"/>
        <w:rPr>
          <w:rFonts w:ascii="宋体" w:hAnsi="宋体"/>
          <w:sz w:val="24"/>
        </w:rPr>
      </w:pPr>
    </w:p>
    <w:p>
      <w:pPr>
        <w:pStyle w:val="16"/>
        <w:tabs>
          <w:tab w:val="left" w:pos="0"/>
        </w:tabs>
        <w:spacing w:line="600" w:lineRule="exact"/>
        <w:ind w:firstLine="600"/>
        <w:rPr>
          <w:rFonts w:ascii="仿宋" w:hAnsi="仿宋" w:eastAsia="仿宋"/>
          <w:sz w:val="30"/>
          <w:szCs w:val="30"/>
        </w:rPr>
      </w:pPr>
    </w:p>
    <w:p>
      <w:pPr>
        <w:rPr>
          <w:rFonts w:ascii="宋体" w:hAnsi="宋体"/>
          <w:b/>
          <w:sz w:val="24"/>
        </w:rPr>
      </w:pPr>
      <w:r>
        <w:rPr>
          <w:rFonts w:hint="eastAsia" w:ascii="宋体" w:hAnsi="宋体"/>
          <w:sz w:val="24"/>
        </w:rPr>
        <w:br w:type="page"/>
      </w:r>
      <w:r>
        <w:rPr>
          <w:rFonts w:hint="eastAsia" w:ascii="宋体" w:hAnsi="宋体"/>
          <w:b/>
          <w:sz w:val="24"/>
        </w:rPr>
        <w:t>附件4：</w:t>
      </w:r>
    </w:p>
    <w:p>
      <w:pPr>
        <w:spacing w:after="312" w:afterLines="100" w:line="360" w:lineRule="auto"/>
        <w:jc w:val="center"/>
        <w:rPr>
          <w:rFonts w:ascii="宋体" w:hAnsi="宋体"/>
          <w:b/>
          <w:color w:val="000000"/>
          <w:sz w:val="32"/>
          <w:szCs w:val="32"/>
        </w:rPr>
      </w:pPr>
      <w:r>
        <w:rPr>
          <w:rFonts w:hint="eastAsia" w:ascii="宋体" w:hAnsi="宋体"/>
          <w:b/>
          <w:color w:val="000000"/>
          <w:sz w:val="32"/>
          <w:szCs w:val="32"/>
        </w:rPr>
        <w:t>基金</w:t>
      </w:r>
      <w:r>
        <w:rPr>
          <w:rFonts w:ascii="宋体" w:hAnsi="宋体"/>
          <w:b/>
          <w:color w:val="000000"/>
          <w:sz w:val="32"/>
          <w:szCs w:val="32"/>
        </w:rPr>
        <w:t>产品或服务风险等级</w:t>
      </w:r>
      <w:r>
        <w:rPr>
          <w:rFonts w:hint="eastAsia" w:ascii="宋体" w:hAnsi="宋体"/>
          <w:b/>
          <w:color w:val="000000"/>
          <w:sz w:val="32"/>
          <w:szCs w:val="32"/>
        </w:rPr>
        <w:t>划分参考标准</w:t>
      </w:r>
    </w:p>
    <w:tbl>
      <w:tblPr>
        <w:tblStyle w:val="8"/>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843" w:type="dxa"/>
          </w:tcPr>
          <w:p>
            <w:pPr>
              <w:spacing w:line="360" w:lineRule="auto"/>
              <w:jc w:val="center"/>
              <w:rPr>
                <w:rFonts w:ascii="宋体" w:hAnsi="宋体" w:cs="Calibri"/>
                <w:b/>
                <w:bCs/>
                <w:color w:val="000000"/>
                <w:szCs w:val="21"/>
              </w:rPr>
            </w:pPr>
            <w:r>
              <w:rPr>
                <w:rFonts w:hint="eastAsia" w:ascii="宋体" w:hAnsi="宋体"/>
                <w:b/>
                <w:bCs/>
                <w:color w:val="000000"/>
                <w:szCs w:val="21"/>
              </w:rPr>
              <w:t>风险评级</w:t>
            </w:r>
          </w:p>
        </w:tc>
        <w:tc>
          <w:tcPr>
            <w:tcW w:w="6662" w:type="dxa"/>
          </w:tcPr>
          <w:p>
            <w:pPr>
              <w:spacing w:line="360" w:lineRule="auto"/>
              <w:jc w:val="center"/>
              <w:rPr>
                <w:rFonts w:ascii="宋体" w:hAnsi="宋体" w:cs="Calibri"/>
                <w:b/>
                <w:bCs/>
                <w:color w:val="000000"/>
                <w:szCs w:val="21"/>
              </w:rPr>
            </w:pPr>
            <w:r>
              <w:rPr>
                <w:rFonts w:hint="eastAsia" w:ascii="宋体" w:hAnsi="宋体"/>
                <w:b/>
                <w:bCs/>
                <w:color w:val="000000"/>
                <w:szCs w:val="21"/>
              </w:rPr>
              <w:t>产品类型参考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843" w:type="dxa"/>
          </w:tcPr>
          <w:p>
            <w:pPr>
              <w:jc w:val="center"/>
              <w:rPr>
                <w:rFonts w:ascii="宋体" w:hAnsi="宋体"/>
                <w:sz w:val="24"/>
              </w:rPr>
            </w:pPr>
            <w:r>
              <w:rPr>
                <w:rFonts w:hint="eastAsia" w:ascii="宋体" w:hAnsi="宋体"/>
                <w:sz w:val="24"/>
              </w:rPr>
              <w:t>低风险（R1）</w:t>
            </w:r>
          </w:p>
        </w:tc>
        <w:tc>
          <w:tcPr>
            <w:tcW w:w="6662" w:type="dxa"/>
          </w:tcPr>
          <w:p>
            <w:pPr>
              <w:spacing w:line="360" w:lineRule="auto"/>
              <w:rPr>
                <w:rFonts w:ascii="宋体" w:hAnsi="宋体" w:cs="Calibri"/>
                <w:color w:val="000000"/>
                <w:szCs w:val="21"/>
              </w:rPr>
            </w:pPr>
            <w:r>
              <w:rPr>
                <w:rFonts w:hint="eastAsia" w:ascii="宋体" w:hAnsi="宋体" w:cs="Calibri"/>
                <w:color w:val="000000"/>
                <w:szCs w:val="21"/>
              </w:rPr>
              <w:t>产品结构简单，过往业绩及净值的历史波动率低，投资标的流动性很好、不含衍生品，估值政策清晰，杠杆不超监管部门规定的标准。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843" w:type="dxa"/>
          </w:tcPr>
          <w:p>
            <w:pPr>
              <w:jc w:val="center"/>
              <w:rPr>
                <w:rFonts w:ascii="宋体" w:hAnsi="宋体"/>
                <w:sz w:val="24"/>
              </w:rPr>
            </w:pPr>
            <w:r>
              <w:rPr>
                <w:rFonts w:hint="eastAsia" w:ascii="宋体" w:hAnsi="宋体"/>
                <w:sz w:val="24"/>
              </w:rPr>
              <w:t>中低风险（R2）</w:t>
            </w:r>
          </w:p>
        </w:tc>
        <w:tc>
          <w:tcPr>
            <w:tcW w:w="6662" w:type="dxa"/>
          </w:tcPr>
          <w:p>
            <w:pPr>
              <w:spacing w:line="360" w:lineRule="auto"/>
              <w:rPr>
                <w:rFonts w:ascii="宋体" w:hAnsi="宋体" w:cs="Calibri"/>
                <w:color w:val="000000"/>
                <w:szCs w:val="21"/>
              </w:rPr>
            </w:pPr>
            <w:r>
              <w:rPr>
                <w:rFonts w:hint="eastAsia" w:ascii="宋体" w:hAnsi="宋体" w:cs="Calibri"/>
                <w:color w:val="000000"/>
                <w:szCs w:val="21"/>
              </w:rPr>
              <w:t>产品结构简单，过往业绩及净值的历史波动率较低，投资标的流动性好、投资衍生品以套期保值为目的，估值政策清晰，杠杆不超监管部门规定的标准。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843" w:type="dxa"/>
          </w:tcPr>
          <w:p>
            <w:pPr>
              <w:jc w:val="center"/>
              <w:rPr>
                <w:rFonts w:ascii="宋体" w:hAnsi="宋体"/>
                <w:sz w:val="24"/>
              </w:rPr>
            </w:pPr>
            <w:r>
              <w:rPr>
                <w:rFonts w:hint="eastAsia" w:ascii="宋体" w:hAnsi="宋体"/>
                <w:sz w:val="24"/>
              </w:rPr>
              <w:t>中风险（R3）</w:t>
            </w:r>
          </w:p>
        </w:tc>
        <w:tc>
          <w:tcPr>
            <w:tcW w:w="6662" w:type="dxa"/>
          </w:tcPr>
          <w:p>
            <w:pPr>
              <w:spacing w:line="360" w:lineRule="auto"/>
              <w:rPr>
                <w:rFonts w:ascii="宋体" w:hAnsi="宋体" w:cs="Calibri"/>
                <w:szCs w:val="21"/>
              </w:rPr>
            </w:pPr>
            <w:r>
              <w:rPr>
                <w:rFonts w:hint="eastAsia" w:ascii="宋体" w:hAnsi="宋体" w:cs="Calibri"/>
                <w:szCs w:val="21"/>
              </w:rPr>
              <w:t>产品结构较简单，过往业绩及净值的历史波动率较高，投资标的流动性较好、投资衍生品以对冲为目的，估值政策清晰，杠杆不超监管部门规定的标准。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43" w:type="dxa"/>
          </w:tcPr>
          <w:p>
            <w:pPr>
              <w:jc w:val="center"/>
              <w:rPr>
                <w:rFonts w:ascii="宋体" w:hAnsi="宋体"/>
                <w:sz w:val="24"/>
              </w:rPr>
            </w:pPr>
            <w:r>
              <w:rPr>
                <w:rFonts w:hint="eastAsia" w:ascii="宋体" w:hAnsi="宋体"/>
                <w:sz w:val="24"/>
              </w:rPr>
              <w:t>中高风险（R4）</w:t>
            </w:r>
          </w:p>
        </w:tc>
        <w:tc>
          <w:tcPr>
            <w:tcW w:w="6662" w:type="dxa"/>
          </w:tcPr>
          <w:p>
            <w:pPr>
              <w:spacing w:line="360" w:lineRule="auto"/>
              <w:rPr>
                <w:rFonts w:ascii="宋体" w:hAnsi="宋体" w:cs="Calibri"/>
                <w:szCs w:val="21"/>
              </w:rPr>
            </w:pPr>
            <w:r>
              <w:rPr>
                <w:rFonts w:hint="eastAsia" w:ascii="宋体" w:hAnsi="宋体" w:cs="Calibri"/>
                <w:szCs w:val="21"/>
              </w:rPr>
              <w:t>产品结构较复杂，过往业绩及净值的历史波动率高，投资标的流动性较差，估值政策较清晰，一倍(不含)以上至三倍(不含)以下杠杆。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43" w:type="dxa"/>
          </w:tcPr>
          <w:p>
            <w:pPr>
              <w:jc w:val="center"/>
              <w:rPr>
                <w:rFonts w:ascii="宋体" w:hAnsi="宋体"/>
                <w:sz w:val="24"/>
              </w:rPr>
            </w:pPr>
            <w:r>
              <w:rPr>
                <w:rFonts w:hint="eastAsia" w:ascii="宋体" w:hAnsi="宋体"/>
                <w:sz w:val="24"/>
              </w:rPr>
              <w:t>高风险（R5）</w:t>
            </w:r>
          </w:p>
        </w:tc>
        <w:tc>
          <w:tcPr>
            <w:tcW w:w="6662" w:type="dxa"/>
          </w:tcPr>
          <w:p>
            <w:pPr>
              <w:spacing w:line="360" w:lineRule="auto"/>
              <w:rPr>
                <w:rFonts w:ascii="宋体" w:hAnsi="宋体" w:cs="Calibri"/>
                <w:color w:val="000000"/>
                <w:szCs w:val="21"/>
              </w:rPr>
            </w:pPr>
            <w:r>
              <w:rPr>
                <w:rFonts w:hint="eastAsia" w:ascii="宋体" w:hAnsi="宋体" w:cs="Calibri"/>
                <w:color w:val="000000"/>
                <w:szCs w:val="21"/>
              </w:rPr>
              <w:t>产品结构复杂，过往业绩及净值的历史波动率很高，投资标的流动性差，估值政策不清晰，三倍（含）以上杠杆。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505" w:type="dxa"/>
            <w:gridSpan w:val="2"/>
          </w:tcPr>
          <w:p>
            <w:pPr>
              <w:spacing w:line="360" w:lineRule="auto"/>
              <w:rPr>
                <w:rFonts w:ascii="宋体" w:hAnsi="宋体" w:cs="Calibri"/>
                <w:color w:val="000000"/>
                <w:szCs w:val="21"/>
              </w:rPr>
            </w:pPr>
            <w:r>
              <w:rPr>
                <w:rFonts w:hint="eastAsia" w:ascii="宋体" w:hAnsi="宋体" w:cs="Calibri"/>
                <w:color w:val="000000"/>
                <w:szCs w:val="21"/>
              </w:rPr>
              <w:t>注：1、上述风险划分标准为参考因素，各业务条线可以根据实际情况，确定评估因素和各项因素的分值和权重，建立评估分值与具体产品风险等级的对应关系，基金服务的风险等级应按照服务涵盖的产品组合的风险等级划分。</w:t>
            </w:r>
          </w:p>
          <w:p>
            <w:pPr>
              <w:spacing w:line="360" w:lineRule="auto"/>
              <w:rPr>
                <w:rFonts w:ascii="宋体" w:hAnsi="宋体" w:cs="Calibri"/>
                <w:color w:val="000000"/>
                <w:szCs w:val="21"/>
              </w:rPr>
            </w:pPr>
            <w:r>
              <w:rPr>
                <w:rFonts w:hint="eastAsia" w:ascii="宋体" w:hAnsi="宋体" w:cs="Calibri"/>
                <w:color w:val="000000"/>
                <w:szCs w:val="21"/>
              </w:rPr>
              <w:t>2、基金服务指以销售基金产品为目的开展的基金推介、基金组合投资建议等活动。</w:t>
            </w:r>
          </w:p>
          <w:p>
            <w:pPr>
              <w:spacing w:line="360" w:lineRule="auto"/>
              <w:rPr>
                <w:rFonts w:ascii="宋体" w:hAnsi="宋体" w:cs="Calibri"/>
                <w:color w:val="000000"/>
                <w:szCs w:val="21"/>
              </w:rPr>
            </w:pPr>
            <w:r>
              <w:rPr>
                <w:rFonts w:hint="eastAsia" w:ascii="宋体" w:hAnsi="宋体" w:cs="Calibri"/>
                <w:color w:val="000000"/>
                <w:szCs w:val="21"/>
              </w:rPr>
              <w:t>3、基金产品或服务的风险等级至少为五级，风险等级名称可以结合实际情况进行调整。</w:t>
            </w:r>
          </w:p>
          <w:p>
            <w:pPr>
              <w:spacing w:line="360" w:lineRule="auto"/>
              <w:rPr>
                <w:rFonts w:ascii="宋体" w:hAnsi="宋体" w:cs="Calibri"/>
                <w:color w:val="000000"/>
                <w:szCs w:val="21"/>
              </w:rPr>
            </w:pPr>
            <w:r>
              <w:rPr>
                <w:rFonts w:hint="eastAsia" w:ascii="宋体" w:hAnsi="宋体" w:cs="Calibri"/>
                <w:color w:val="000000"/>
                <w:szCs w:val="21"/>
              </w:rPr>
              <w:t>4、R4、R5杠杆水平是指无监管部门明确规定的产品杠杆水平。</w:t>
            </w:r>
          </w:p>
        </w:tc>
      </w:tr>
    </w:tbl>
    <w:p>
      <w:pPr>
        <w:spacing w:line="240" w:lineRule="atLeast"/>
        <w:rPr>
          <w:rFonts w:ascii="宋体" w:hAnsi="宋体"/>
          <w:color w:val="000000"/>
          <w:szCs w:val="21"/>
        </w:rPr>
      </w:pPr>
    </w:p>
    <w:p>
      <w:pPr>
        <w:spacing w:line="240" w:lineRule="atLeast"/>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1"/>
    <w:family w:val="roman"/>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B069F"/>
    <w:multiLevelType w:val="multilevel"/>
    <w:tmpl w:val="3F8B06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299502A"/>
    <w:multiLevelType w:val="multilevel"/>
    <w:tmpl w:val="6299502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0E00"/>
    <w:rsid w:val="00000BCE"/>
    <w:rsid w:val="00003120"/>
    <w:rsid w:val="00005E79"/>
    <w:rsid w:val="00007520"/>
    <w:rsid w:val="00016648"/>
    <w:rsid w:val="0001711E"/>
    <w:rsid w:val="00034E8A"/>
    <w:rsid w:val="00040BA7"/>
    <w:rsid w:val="00045D0D"/>
    <w:rsid w:val="0005149E"/>
    <w:rsid w:val="00060800"/>
    <w:rsid w:val="000804AB"/>
    <w:rsid w:val="000832B0"/>
    <w:rsid w:val="00090214"/>
    <w:rsid w:val="000B59D0"/>
    <w:rsid w:val="000C2DC2"/>
    <w:rsid w:val="000D6511"/>
    <w:rsid w:val="000E21CE"/>
    <w:rsid w:val="000E34AA"/>
    <w:rsid w:val="000E5675"/>
    <w:rsid w:val="000E7351"/>
    <w:rsid w:val="000F02AE"/>
    <w:rsid w:val="000F60A1"/>
    <w:rsid w:val="0010236E"/>
    <w:rsid w:val="00105E83"/>
    <w:rsid w:val="001060FB"/>
    <w:rsid w:val="00107C7C"/>
    <w:rsid w:val="001105B4"/>
    <w:rsid w:val="001124D7"/>
    <w:rsid w:val="001140EC"/>
    <w:rsid w:val="001274F1"/>
    <w:rsid w:val="00127B89"/>
    <w:rsid w:val="0013783C"/>
    <w:rsid w:val="00142318"/>
    <w:rsid w:val="00153A27"/>
    <w:rsid w:val="001545AC"/>
    <w:rsid w:val="001562C8"/>
    <w:rsid w:val="00164AE1"/>
    <w:rsid w:val="00182C8D"/>
    <w:rsid w:val="0018678E"/>
    <w:rsid w:val="00187C8F"/>
    <w:rsid w:val="00191369"/>
    <w:rsid w:val="001931DF"/>
    <w:rsid w:val="00196399"/>
    <w:rsid w:val="001A2097"/>
    <w:rsid w:val="001A3B62"/>
    <w:rsid w:val="001B0C02"/>
    <w:rsid w:val="001C307B"/>
    <w:rsid w:val="001C730A"/>
    <w:rsid w:val="001D7927"/>
    <w:rsid w:val="001E52FE"/>
    <w:rsid w:val="001F1D84"/>
    <w:rsid w:val="001F5248"/>
    <w:rsid w:val="001F63F5"/>
    <w:rsid w:val="001F790E"/>
    <w:rsid w:val="002004A6"/>
    <w:rsid w:val="002015F3"/>
    <w:rsid w:val="0020635C"/>
    <w:rsid w:val="0020658E"/>
    <w:rsid w:val="00222B35"/>
    <w:rsid w:val="00235800"/>
    <w:rsid w:val="002415A9"/>
    <w:rsid w:val="00246BB7"/>
    <w:rsid w:val="00261E4D"/>
    <w:rsid w:val="00281473"/>
    <w:rsid w:val="00287BDE"/>
    <w:rsid w:val="00293B44"/>
    <w:rsid w:val="002A40FC"/>
    <w:rsid w:val="002A502E"/>
    <w:rsid w:val="002A50B0"/>
    <w:rsid w:val="002A6889"/>
    <w:rsid w:val="002B2526"/>
    <w:rsid w:val="002B32CC"/>
    <w:rsid w:val="002C0957"/>
    <w:rsid w:val="002D53C3"/>
    <w:rsid w:val="002E099C"/>
    <w:rsid w:val="00300E00"/>
    <w:rsid w:val="00301498"/>
    <w:rsid w:val="00303054"/>
    <w:rsid w:val="003049A6"/>
    <w:rsid w:val="00310BB5"/>
    <w:rsid w:val="00322599"/>
    <w:rsid w:val="00322A1D"/>
    <w:rsid w:val="00324CFC"/>
    <w:rsid w:val="00325029"/>
    <w:rsid w:val="00332CAA"/>
    <w:rsid w:val="00344552"/>
    <w:rsid w:val="00347B98"/>
    <w:rsid w:val="003516E3"/>
    <w:rsid w:val="00351BBB"/>
    <w:rsid w:val="0035459E"/>
    <w:rsid w:val="003549BC"/>
    <w:rsid w:val="00356131"/>
    <w:rsid w:val="00356B52"/>
    <w:rsid w:val="00360F2A"/>
    <w:rsid w:val="00363DDB"/>
    <w:rsid w:val="00364BBB"/>
    <w:rsid w:val="003656A3"/>
    <w:rsid w:val="003707A9"/>
    <w:rsid w:val="003767E0"/>
    <w:rsid w:val="00376A4C"/>
    <w:rsid w:val="00381A0E"/>
    <w:rsid w:val="00395970"/>
    <w:rsid w:val="00397D33"/>
    <w:rsid w:val="003A3BF3"/>
    <w:rsid w:val="003B3A17"/>
    <w:rsid w:val="003C5B2B"/>
    <w:rsid w:val="003D3D7D"/>
    <w:rsid w:val="003E41B0"/>
    <w:rsid w:val="003F1D9A"/>
    <w:rsid w:val="003F7951"/>
    <w:rsid w:val="003F7E4B"/>
    <w:rsid w:val="00411ABF"/>
    <w:rsid w:val="00414A77"/>
    <w:rsid w:val="00417040"/>
    <w:rsid w:val="00420E22"/>
    <w:rsid w:val="00421042"/>
    <w:rsid w:val="00447577"/>
    <w:rsid w:val="0046691D"/>
    <w:rsid w:val="00470964"/>
    <w:rsid w:val="004922F2"/>
    <w:rsid w:val="004A5A97"/>
    <w:rsid w:val="004B399E"/>
    <w:rsid w:val="004B61BC"/>
    <w:rsid w:val="004C60C5"/>
    <w:rsid w:val="004E0542"/>
    <w:rsid w:val="004E7002"/>
    <w:rsid w:val="004E7067"/>
    <w:rsid w:val="004F32F4"/>
    <w:rsid w:val="00500F7A"/>
    <w:rsid w:val="00515C2B"/>
    <w:rsid w:val="00520179"/>
    <w:rsid w:val="00520B5E"/>
    <w:rsid w:val="00523FEA"/>
    <w:rsid w:val="00524D0A"/>
    <w:rsid w:val="00525553"/>
    <w:rsid w:val="00540F09"/>
    <w:rsid w:val="005428CA"/>
    <w:rsid w:val="00553BF2"/>
    <w:rsid w:val="005546E9"/>
    <w:rsid w:val="00557FA9"/>
    <w:rsid w:val="00561775"/>
    <w:rsid w:val="00562D68"/>
    <w:rsid w:val="005654B0"/>
    <w:rsid w:val="005702F4"/>
    <w:rsid w:val="00570E0E"/>
    <w:rsid w:val="0057295B"/>
    <w:rsid w:val="00573155"/>
    <w:rsid w:val="00593664"/>
    <w:rsid w:val="005936E8"/>
    <w:rsid w:val="005A19F7"/>
    <w:rsid w:val="005A1D6B"/>
    <w:rsid w:val="005A4B05"/>
    <w:rsid w:val="005D12CF"/>
    <w:rsid w:val="005E08C3"/>
    <w:rsid w:val="005E5909"/>
    <w:rsid w:val="005E631C"/>
    <w:rsid w:val="005E6DA9"/>
    <w:rsid w:val="005E7DFE"/>
    <w:rsid w:val="005F49A5"/>
    <w:rsid w:val="00600912"/>
    <w:rsid w:val="00605F38"/>
    <w:rsid w:val="006119BA"/>
    <w:rsid w:val="006515AE"/>
    <w:rsid w:val="00661443"/>
    <w:rsid w:val="00662245"/>
    <w:rsid w:val="006624A7"/>
    <w:rsid w:val="00666D34"/>
    <w:rsid w:val="0067346F"/>
    <w:rsid w:val="00675EC4"/>
    <w:rsid w:val="00690575"/>
    <w:rsid w:val="00690728"/>
    <w:rsid w:val="00692B96"/>
    <w:rsid w:val="006948A1"/>
    <w:rsid w:val="00695541"/>
    <w:rsid w:val="006A0D1E"/>
    <w:rsid w:val="006A3F43"/>
    <w:rsid w:val="006A7C20"/>
    <w:rsid w:val="006A7F1A"/>
    <w:rsid w:val="006B162E"/>
    <w:rsid w:val="006B39FF"/>
    <w:rsid w:val="006C37F4"/>
    <w:rsid w:val="006C7D69"/>
    <w:rsid w:val="006D2527"/>
    <w:rsid w:val="006D799E"/>
    <w:rsid w:val="006F1878"/>
    <w:rsid w:val="00704F13"/>
    <w:rsid w:val="00706F23"/>
    <w:rsid w:val="007159F4"/>
    <w:rsid w:val="00724B47"/>
    <w:rsid w:val="00730F6A"/>
    <w:rsid w:val="00731791"/>
    <w:rsid w:val="00746F97"/>
    <w:rsid w:val="00756389"/>
    <w:rsid w:val="00761E44"/>
    <w:rsid w:val="00772E48"/>
    <w:rsid w:val="007810EC"/>
    <w:rsid w:val="0078663C"/>
    <w:rsid w:val="007913BE"/>
    <w:rsid w:val="007B0F02"/>
    <w:rsid w:val="007B16AB"/>
    <w:rsid w:val="007B4D27"/>
    <w:rsid w:val="007B7EC6"/>
    <w:rsid w:val="007C2DCF"/>
    <w:rsid w:val="007C4860"/>
    <w:rsid w:val="007C4FC1"/>
    <w:rsid w:val="007D407A"/>
    <w:rsid w:val="007D5C04"/>
    <w:rsid w:val="007E310B"/>
    <w:rsid w:val="007E417F"/>
    <w:rsid w:val="007E7D0E"/>
    <w:rsid w:val="00802E05"/>
    <w:rsid w:val="0080573F"/>
    <w:rsid w:val="0081498C"/>
    <w:rsid w:val="008171E4"/>
    <w:rsid w:val="00817C3D"/>
    <w:rsid w:val="00821D84"/>
    <w:rsid w:val="0083372F"/>
    <w:rsid w:val="0083675D"/>
    <w:rsid w:val="00841216"/>
    <w:rsid w:val="00842905"/>
    <w:rsid w:val="00842EEE"/>
    <w:rsid w:val="00847780"/>
    <w:rsid w:val="00860EE9"/>
    <w:rsid w:val="008671D6"/>
    <w:rsid w:val="008778E9"/>
    <w:rsid w:val="00897682"/>
    <w:rsid w:val="008A02C8"/>
    <w:rsid w:val="008A44C1"/>
    <w:rsid w:val="008A6CFF"/>
    <w:rsid w:val="008C08C1"/>
    <w:rsid w:val="008D2F5F"/>
    <w:rsid w:val="008D3178"/>
    <w:rsid w:val="008F5478"/>
    <w:rsid w:val="00902087"/>
    <w:rsid w:val="00917410"/>
    <w:rsid w:val="009213FA"/>
    <w:rsid w:val="00940195"/>
    <w:rsid w:val="009446A4"/>
    <w:rsid w:val="0094645D"/>
    <w:rsid w:val="009476ED"/>
    <w:rsid w:val="009518A7"/>
    <w:rsid w:val="00955799"/>
    <w:rsid w:val="00975BD0"/>
    <w:rsid w:val="00975DD1"/>
    <w:rsid w:val="00984101"/>
    <w:rsid w:val="0099207F"/>
    <w:rsid w:val="009A1266"/>
    <w:rsid w:val="009A55BD"/>
    <w:rsid w:val="009A5AED"/>
    <w:rsid w:val="009B17B7"/>
    <w:rsid w:val="009C03CE"/>
    <w:rsid w:val="009C27DF"/>
    <w:rsid w:val="009D396D"/>
    <w:rsid w:val="009D3B9A"/>
    <w:rsid w:val="009D51A8"/>
    <w:rsid w:val="009E264E"/>
    <w:rsid w:val="009E3C31"/>
    <w:rsid w:val="009E5E36"/>
    <w:rsid w:val="009F17C7"/>
    <w:rsid w:val="009F1ACA"/>
    <w:rsid w:val="009F20CA"/>
    <w:rsid w:val="009F34E3"/>
    <w:rsid w:val="00A00F32"/>
    <w:rsid w:val="00A01CB9"/>
    <w:rsid w:val="00A07760"/>
    <w:rsid w:val="00A10E8D"/>
    <w:rsid w:val="00A21851"/>
    <w:rsid w:val="00A235D8"/>
    <w:rsid w:val="00A23E70"/>
    <w:rsid w:val="00A30DAA"/>
    <w:rsid w:val="00A3134F"/>
    <w:rsid w:val="00A3152D"/>
    <w:rsid w:val="00A43D14"/>
    <w:rsid w:val="00A45336"/>
    <w:rsid w:val="00A47B4A"/>
    <w:rsid w:val="00A54E3A"/>
    <w:rsid w:val="00A55D48"/>
    <w:rsid w:val="00A62CF9"/>
    <w:rsid w:val="00A76459"/>
    <w:rsid w:val="00A76A46"/>
    <w:rsid w:val="00A80532"/>
    <w:rsid w:val="00A96C1F"/>
    <w:rsid w:val="00AA3F49"/>
    <w:rsid w:val="00AA67E4"/>
    <w:rsid w:val="00AB6055"/>
    <w:rsid w:val="00AC7164"/>
    <w:rsid w:val="00AD0C98"/>
    <w:rsid w:val="00AE6D5F"/>
    <w:rsid w:val="00AE6EAE"/>
    <w:rsid w:val="00AE6F53"/>
    <w:rsid w:val="00AF0CE2"/>
    <w:rsid w:val="00B01308"/>
    <w:rsid w:val="00B02BCF"/>
    <w:rsid w:val="00B04DCC"/>
    <w:rsid w:val="00B05277"/>
    <w:rsid w:val="00B130E2"/>
    <w:rsid w:val="00B153D4"/>
    <w:rsid w:val="00B16EDE"/>
    <w:rsid w:val="00B17A21"/>
    <w:rsid w:val="00B20784"/>
    <w:rsid w:val="00B24BBA"/>
    <w:rsid w:val="00B26C9A"/>
    <w:rsid w:val="00B301B7"/>
    <w:rsid w:val="00B31549"/>
    <w:rsid w:val="00B33E44"/>
    <w:rsid w:val="00B3550F"/>
    <w:rsid w:val="00B51394"/>
    <w:rsid w:val="00B56DBD"/>
    <w:rsid w:val="00B6261B"/>
    <w:rsid w:val="00B633CD"/>
    <w:rsid w:val="00B636DB"/>
    <w:rsid w:val="00B70A85"/>
    <w:rsid w:val="00B76A06"/>
    <w:rsid w:val="00B955B4"/>
    <w:rsid w:val="00BA0C20"/>
    <w:rsid w:val="00BA2582"/>
    <w:rsid w:val="00BA70A6"/>
    <w:rsid w:val="00BB3161"/>
    <w:rsid w:val="00BB7D06"/>
    <w:rsid w:val="00BC4E0D"/>
    <w:rsid w:val="00BC7B61"/>
    <w:rsid w:val="00BD7A6F"/>
    <w:rsid w:val="00BE229C"/>
    <w:rsid w:val="00BF15B2"/>
    <w:rsid w:val="00C02CF4"/>
    <w:rsid w:val="00C05260"/>
    <w:rsid w:val="00C06D6B"/>
    <w:rsid w:val="00C15C94"/>
    <w:rsid w:val="00C17EF0"/>
    <w:rsid w:val="00C25071"/>
    <w:rsid w:val="00C27A09"/>
    <w:rsid w:val="00C34F40"/>
    <w:rsid w:val="00C5047E"/>
    <w:rsid w:val="00C55D75"/>
    <w:rsid w:val="00C63CEB"/>
    <w:rsid w:val="00C821F3"/>
    <w:rsid w:val="00C87E81"/>
    <w:rsid w:val="00C95306"/>
    <w:rsid w:val="00CA3DA6"/>
    <w:rsid w:val="00CB3084"/>
    <w:rsid w:val="00CB3DD4"/>
    <w:rsid w:val="00CC20DB"/>
    <w:rsid w:val="00CC2CCE"/>
    <w:rsid w:val="00CD3B2A"/>
    <w:rsid w:val="00CD4B50"/>
    <w:rsid w:val="00CE0661"/>
    <w:rsid w:val="00CE2061"/>
    <w:rsid w:val="00CE2063"/>
    <w:rsid w:val="00CE66A1"/>
    <w:rsid w:val="00CF08BA"/>
    <w:rsid w:val="00CF3B46"/>
    <w:rsid w:val="00CF3FB7"/>
    <w:rsid w:val="00CF5190"/>
    <w:rsid w:val="00CF6F94"/>
    <w:rsid w:val="00D0738F"/>
    <w:rsid w:val="00D16A9E"/>
    <w:rsid w:val="00D2422A"/>
    <w:rsid w:val="00D32190"/>
    <w:rsid w:val="00D44ACC"/>
    <w:rsid w:val="00D45BF9"/>
    <w:rsid w:val="00D46DE5"/>
    <w:rsid w:val="00D52F65"/>
    <w:rsid w:val="00D70970"/>
    <w:rsid w:val="00D71856"/>
    <w:rsid w:val="00D82730"/>
    <w:rsid w:val="00D82B51"/>
    <w:rsid w:val="00D84E6D"/>
    <w:rsid w:val="00D9181C"/>
    <w:rsid w:val="00D95422"/>
    <w:rsid w:val="00D97447"/>
    <w:rsid w:val="00D97AFA"/>
    <w:rsid w:val="00DA139D"/>
    <w:rsid w:val="00DA25E3"/>
    <w:rsid w:val="00DA2FCF"/>
    <w:rsid w:val="00DB7F98"/>
    <w:rsid w:val="00DC20E8"/>
    <w:rsid w:val="00DC6D53"/>
    <w:rsid w:val="00DC70CA"/>
    <w:rsid w:val="00DD09DE"/>
    <w:rsid w:val="00DD3594"/>
    <w:rsid w:val="00DD720B"/>
    <w:rsid w:val="00DE44D9"/>
    <w:rsid w:val="00DF3D0F"/>
    <w:rsid w:val="00E22A2A"/>
    <w:rsid w:val="00E23C25"/>
    <w:rsid w:val="00E27441"/>
    <w:rsid w:val="00E324B5"/>
    <w:rsid w:val="00E343DA"/>
    <w:rsid w:val="00E3680F"/>
    <w:rsid w:val="00E404CE"/>
    <w:rsid w:val="00E44015"/>
    <w:rsid w:val="00E45080"/>
    <w:rsid w:val="00E45D57"/>
    <w:rsid w:val="00E50172"/>
    <w:rsid w:val="00E55670"/>
    <w:rsid w:val="00E559F6"/>
    <w:rsid w:val="00E643E3"/>
    <w:rsid w:val="00E71EBF"/>
    <w:rsid w:val="00E72ACC"/>
    <w:rsid w:val="00E74D6E"/>
    <w:rsid w:val="00E7500E"/>
    <w:rsid w:val="00E75B5C"/>
    <w:rsid w:val="00E75C35"/>
    <w:rsid w:val="00E7617B"/>
    <w:rsid w:val="00E9163E"/>
    <w:rsid w:val="00E93526"/>
    <w:rsid w:val="00E9688B"/>
    <w:rsid w:val="00E96FAA"/>
    <w:rsid w:val="00EA0604"/>
    <w:rsid w:val="00EB0406"/>
    <w:rsid w:val="00EB3C60"/>
    <w:rsid w:val="00EB5386"/>
    <w:rsid w:val="00EC2D06"/>
    <w:rsid w:val="00EC449C"/>
    <w:rsid w:val="00EC644D"/>
    <w:rsid w:val="00ED2DB7"/>
    <w:rsid w:val="00ED3D0E"/>
    <w:rsid w:val="00EE0DA9"/>
    <w:rsid w:val="00EE2016"/>
    <w:rsid w:val="00EE60BF"/>
    <w:rsid w:val="00EF207D"/>
    <w:rsid w:val="00EF6148"/>
    <w:rsid w:val="00EF70F7"/>
    <w:rsid w:val="00F01EEE"/>
    <w:rsid w:val="00F07ACC"/>
    <w:rsid w:val="00F22395"/>
    <w:rsid w:val="00F22642"/>
    <w:rsid w:val="00F236A6"/>
    <w:rsid w:val="00F277B3"/>
    <w:rsid w:val="00F344D0"/>
    <w:rsid w:val="00F449FC"/>
    <w:rsid w:val="00F61606"/>
    <w:rsid w:val="00F633AC"/>
    <w:rsid w:val="00F65071"/>
    <w:rsid w:val="00F8068B"/>
    <w:rsid w:val="00F8113B"/>
    <w:rsid w:val="00F82CD7"/>
    <w:rsid w:val="00F837C8"/>
    <w:rsid w:val="00F844AF"/>
    <w:rsid w:val="00F93E8A"/>
    <w:rsid w:val="00F95D46"/>
    <w:rsid w:val="00FA3640"/>
    <w:rsid w:val="00FA42BA"/>
    <w:rsid w:val="00FA4DDA"/>
    <w:rsid w:val="00FA70C3"/>
    <w:rsid w:val="00FB313B"/>
    <w:rsid w:val="00FE0FCE"/>
    <w:rsid w:val="00FE20FE"/>
    <w:rsid w:val="00FE6C97"/>
    <w:rsid w:val="00FF0C1A"/>
    <w:rsid w:val="00FF3B19"/>
    <w:rsid w:val="00FF5E99"/>
    <w:rsid w:val="00FF6329"/>
    <w:rsid w:val="192C1812"/>
    <w:rsid w:val="318E0265"/>
    <w:rsid w:val="43B114B8"/>
    <w:rsid w:val="4A007AB5"/>
    <w:rsid w:val="517A0253"/>
    <w:rsid w:val="54D7258F"/>
    <w:rsid w:val="5F3D101A"/>
    <w:rsid w:val="73E244F4"/>
    <w:rsid w:val="7C8F0C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100" w:beforeAutospacing="1" w:after="100" w:afterAutospacing="1" w:line="240" w:lineRule="atLeast"/>
      <w:ind w:left="200" w:leftChars="200"/>
      <w:jc w:val="left"/>
      <w:outlineLvl w:val="0"/>
    </w:pPr>
    <w:rPr>
      <w:rFonts w:ascii="Times New Roman" w:hAnsi="Times New Roman"/>
      <w:b/>
      <w:bCs/>
      <w:kern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unhideWhenUsed/>
    <w:qFormat/>
    <w:uiPriority w:val="99"/>
    <w:pPr>
      <w:jc w:val="left"/>
    </w:pPr>
  </w:style>
  <w:style w:type="paragraph" w:styleId="4">
    <w:name w:val="Balloon Text"/>
    <w:basedOn w:val="1"/>
    <w:link w:val="18"/>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20"/>
    <w:unhideWhenUsed/>
    <w:qFormat/>
    <w:uiPriority w:val="99"/>
    <w:rPr>
      <w:b/>
      <w:bCs/>
    </w:rPr>
  </w:style>
  <w:style w:type="character" w:styleId="10">
    <w:name w:val="Hyperlink"/>
    <w:basedOn w:val="9"/>
    <w:unhideWhenUsed/>
    <w:qFormat/>
    <w:uiPriority w:val="99"/>
    <w:rPr>
      <w:color w:val="0000FF"/>
      <w:u w:val="none"/>
    </w:rPr>
  </w:style>
  <w:style w:type="character" w:styleId="11">
    <w:name w:val="annotation reference"/>
    <w:basedOn w:val="9"/>
    <w:unhideWhenUsed/>
    <w:qFormat/>
    <w:uiPriority w:val="99"/>
    <w:rPr>
      <w:sz w:val="21"/>
      <w:szCs w:val="21"/>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customStyle="1" w:styleId="14">
    <w:name w:val="Paragrafo elenco1"/>
    <w:basedOn w:val="1"/>
    <w:qFormat/>
    <w:uiPriority w:val="99"/>
    <w:pPr>
      <w:widowControl/>
      <w:spacing w:after="200" w:line="276" w:lineRule="auto"/>
      <w:ind w:left="720"/>
      <w:jc w:val="left"/>
    </w:pPr>
    <w:rPr>
      <w:rFonts w:ascii="CG Times" w:hAnsi="CG Times"/>
      <w:kern w:val="0"/>
      <w:sz w:val="24"/>
      <w:lang w:eastAsia="en-US"/>
    </w:rPr>
  </w:style>
  <w:style w:type="paragraph" w:customStyle="1" w:styleId="15">
    <w:name w:val="Default"/>
    <w:qFormat/>
    <w:uiPriority w:val="0"/>
    <w:pPr>
      <w:widowControl w:val="0"/>
      <w:autoSpaceDE w:val="0"/>
      <w:autoSpaceDN w:val="0"/>
      <w:adjustRightInd w:val="0"/>
    </w:pPr>
    <w:rPr>
      <w:rFonts w:ascii="Wingdings" w:hAnsi="Wingdings" w:cs="Wingdings" w:eastAsiaTheme="minorEastAsia"/>
      <w:color w:val="000000"/>
      <w:sz w:val="24"/>
      <w:szCs w:val="24"/>
      <w:lang w:val="en-US" w:eastAsia="zh-CN" w:bidi="ar-SA"/>
    </w:rPr>
  </w:style>
  <w:style w:type="paragraph" w:customStyle="1" w:styleId="16">
    <w:name w:val="列出段落1"/>
    <w:basedOn w:val="1"/>
    <w:link w:val="17"/>
    <w:qFormat/>
    <w:uiPriority w:val="34"/>
    <w:pPr>
      <w:ind w:firstLine="420" w:firstLineChars="200"/>
    </w:pPr>
  </w:style>
  <w:style w:type="character" w:customStyle="1" w:styleId="17">
    <w:name w:val="列出段落 Char"/>
    <w:link w:val="16"/>
    <w:qFormat/>
    <w:locked/>
    <w:uiPriority w:val="34"/>
    <w:rPr>
      <w:rFonts w:ascii="Calibri" w:hAnsi="Calibri" w:eastAsia="宋体" w:cs="Times New Roman"/>
    </w:rPr>
  </w:style>
  <w:style w:type="character" w:customStyle="1" w:styleId="18">
    <w:name w:val="批注框文本 Char"/>
    <w:basedOn w:val="9"/>
    <w:link w:val="4"/>
    <w:semiHidden/>
    <w:qFormat/>
    <w:uiPriority w:val="99"/>
    <w:rPr>
      <w:rFonts w:ascii="Calibri" w:hAnsi="Calibri" w:eastAsia="宋体" w:cs="Times New Roman"/>
      <w:sz w:val="18"/>
      <w:szCs w:val="18"/>
    </w:rPr>
  </w:style>
  <w:style w:type="character" w:customStyle="1" w:styleId="19">
    <w:name w:val="批注文字 Char"/>
    <w:basedOn w:val="9"/>
    <w:link w:val="3"/>
    <w:semiHidden/>
    <w:qFormat/>
    <w:uiPriority w:val="99"/>
    <w:rPr>
      <w:rFonts w:ascii="Calibri" w:hAnsi="Calibri" w:eastAsia="宋体" w:cs="Times New Roman"/>
    </w:rPr>
  </w:style>
  <w:style w:type="character" w:customStyle="1" w:styleId="20">
    <w:name w:val="批注主题 Char"/>
    <w:basedOn w:val="19"/>
    <w:link w:val="7"/>
    <w:semiHidden/>
    <w:qFormat/>
    <w:uiPriority w:val="99"/>
    <w:rPr>
      <w:rFonts w:ascii="Calibri" w:hAnsi="Calibri" w:eastAsia="宋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765DD-7CDE-42B0-BD5C-313DCB449DE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897</Words>
  <Characters>5114</Characters>
  <Lines>42</Lines>
  <Paragraphs>11</Paragraphs>
  <TotalTime>1</TotalTime>
  <ScaleCrop>false</ScaleCrop>
  <LinksUpToDate>false</LinksUpToDate>
  <CharactersWithSpaces>6000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2017-04-15T08:17:00Z</dcterms:created>
  <dc:creator>何宏亮</dc:creator>
  <cp:lastModifiedBy>yinyufan</cp:lastModifiedBy>
  <cp:lastPrinted>2017-07-03T11:54:00Z</cp:lastPrinted>
  <dcterms:modified xsi:type="dcterms:W3CDTF">2023-04-21T02:13:53Z</dcterms:modified>
  <cp:revision>363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1309AF2F57F7446F98AF5AB24EDDEBFF</vt:lpwstr>
  </property>
</Properties>
</file>