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九州证券</w:t>
      </w:r>
      <w:r>
        <w:rPr>
          <w:rFonts w:hint="eastAsia" w:cs="Times New Roman" w:asciiTheme="majorEastAsia" w:hAnsiTheme="majorEastAsia" w:eastAsiaTheme="majorEastAsia"/>
          <w:b/>
          <w:sz w:val="36"/>
          <w:szCs w:val="36"/>
          <w:lang w:eastAsia="zh-CN"/>
        </w:rPr>
        <w:t>股份有限公司</w:t>
      </w:r>
      <w:r>
        <w:rPr>
          <w:rFonts w:hint="eastAsia" w:cs="Times New Roman" w:asciiTheme="majorEastAsia" w:hAnsiTheme="majorEastAsia" w:eastAsiaTheme="majorEastAsia"/>
          <w:b/>
          <w:sz w:val="36"/>
          <w:szCs w:val="36"/>
        </w:rPr>
        <w:t>代销证券投资基金</w:t>
      </w:r>
    </w:p>
    <w:p>
      <w:pPr>
        <w:widowControl w:val="0"/>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风险评级说明</w:t>
      </w:r>
    </w:p>
    <w:p>
      <w:pPr>
        <w:widowControl w:val="0"/>
        <w:jc w:val="center"/>
        <w:rPr>
          <w:rFonts w:hint="eastAsia" w:ascii="黑体" w:hAnsi="黑体" w:eastAsia="黑体" w:cs="Times New Roman"/>
          <w:b/>
          <w:sz w:val="36"/>
          <w:szCs w:val="36"/>
        </w:rPr>
      </w:pPr>
    </w:p>
    <w:p>
      <w:pPr>
        <w:spacing w:line="360" w:lineRule="auto"/>
        <w:ind w:firstLine="420" w:firstLineChars="200"/>
      </w:pPr>
      <w:r>
        <w:rPr>
          <w:rFonts w:hint="eastAsia"/>
        </w:rPr>
        <w:t>本公司旗下代销证券投资基金产品风险评价指标及规则说明如下：</w:t>
      </w:r>
    </w:p>
    <w:p>
      <w:pPr>
        <w:spacing w:line="360" w:lineRule="auto"/>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一、根据基金类型给出基础风险等级</w:t>
      </w:r>
    </w:p>
    <w:p>
      <w:pPr>
        <w:spacing w:line="360" w:lineRule="auto"/>
        <w:ind w:firstLine="420" w:firstLineChars="200"/>
        <w:rPr>
          <w:color w:val="000000" w:themeColor="text1"/>
          <w14:textFill>
            <w14:solidFill>
              <w14:schemeClr w14:val="tx1"/>
            </w14:solidFill>
          </w14:textFill>
        </w:rPr>
      </w:pPr>
      <w:bookmarkStart w:id="0" w:name="_GoBack"/>
      <w:r>
        <w:rPr>
          <w:rFonts w:hint="eastAsia"/>
          <w:color w:val="000000" w:themeColor="text1"/>
          <w:lang w:val="en-US" w:eastAsia="zh-CN"/>
          <w14:textFill>
            <w14:solidFill>
              <w14:schemeClr w14:val="tx1"/>
            </w14:solidFill>
          </w14:textFill>
        </w:rPr>
        <w:t>对基金类型的划分参考了中国证监会关于基金类型的划分方法以及wind对基金类型的划分。根据基金类型初步界定其基础风险等级，评定规则见</w:t>
      </w:r>
      <w:r>
        <w:rPr>
          <w:rFonts w:hint="eastAsia"/>
          <w:color w:val="000000" w:themeColor="text1"/>
          <w14:textFill>
            <w14:solidFill>
              <w14:schemeClr w14:val="tx1"/>
            </w14:solidFill>
          </w14:textFill>
        </w:rPr>
        <w:t>表1。</w:t>
      </w:r>
    </w:p>
    <w:p>
      <w:pPr>
        <w:spacing w:line="360" w:lineRule="auto"/>
        <w:ind w:firstLine="360" w:firstLineChars="2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表1：基础风险</w:t>
      </w:r>
      <w:r>
        <w:rPr>
          <w:rFonts w:hint="eastAsia"/>
          <w:color w:val="000000" w:themeColor="text1"/>
          <w:sz w:val="18"/>
          <w:szCs w:val="18"/>
          <w:lang w:val="en-US" w:eastAsia="zh-CN"/>
          <w14:textFill>
            <w14:solidFill>
              <w14:schemeClr w14:val="tx1"/>
            </w14:solidFill>
          </w14:textFill>
        </w:rPr>
        <w:t>等级</w:t>
      </w:r>
      <w:r>
        <w:rPr>
          <w:rFonts w:hint="eastAsia"/>
          <w:color w:val="000000" w:themeColor="text1"/>
          <w:sz w:val="18"/>
          <w:szCs w:val="18"/>
          <w14:textFill>
            <w14:solidFill>
              <w14:schemeClr w14:val="tx1"/>
            </w14:solidFill>
          </w14:textFill>
        </w:rPr>
        <w:t>评定规则</w:t>
      </w:r>
    </w:p>
    <w:tbl>
      <w:tblPr>
        <w:tblStyle w:val="6"/>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3"/>
        <w:gridCol w:w="13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63" w:type="dxa"/>
            <w:gridSpan w:val="4"/>
            <w:noWrap/>
          </w:tcPr>
          <w:p>
            <w:pPr>
              <w:spacing w:line="360" w:lineRule="auto"/>
              <w:ind w:firstLine="422" w:firstLineChars="200"/>
              <w:jc w:val="center"/>
              <w:rPr>
                <w:rFonts w:hint="eastAsia" w:ascii="Calibri" w:hAnsi="Calibri" w:eastAsia="宋体"/>
                <w:b/>
                <w:bCs/>
                <w:color w:val="000000" w:themeColor="text1"/>
                <w:szCs w:val="21"/>
                <w:lang w:eastAsia="zh-CN"/>
                <w14:textFill>
                  <w14:solidFill>
                    <w14:schemeClr w14:val="tx1"/>
                  </w14:solidFill>
                </w14:textFill>
              </w:rPr>
            </w:pPr>
            <w:r>
              <w:rPr>
                <w:rFonts w:hint="eastAsia" w:ascii="Calibri" w:hAnsi="Calibri"/>
                <w:b/>
                <w:bCs/>
                <w:color w:val="000000" w:themeColor="text1"/>
                <w:szCs w:val="21"/>
                <w14:textFill>
                  <w14:solidFill>
                    <w14:schemeClr w14:val="tx1"/>
                  </w14:solidFill>
                </w14:textFill>
              </w:rPr>
              <w:t>基础风险</w:t>
            </w:r>
            <w:r>
              <w:rPr>
                <w:rFonts w:hint="eastAsia" w:ascii="Calibri" w:hAnsi="Calibri"/>
                <w:b/>
                <w:bCs/>
                <w:color w:val="000000" w:themeColor="text1"/>
                <w:szCs w:val="21"/>
                <w:lang w:val="en-US" w:eastAsia="zh-CN"/>
                <w14:textFill>
                  <w14:solidFill>
                    <w14:schemeClr w14:val="tx1"/>
                  </w14:solidFill>
                </w14:textFill>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noWrap/>
          </w:tcPr>
          <w:p>
            <w:pPr>
              <w:spacing w:line="360" w:lineRule="auto"/>
              <w:rPr>
                <w:rFonts w:ascii="Calibri" w:hAnsi="Calibri"/>
                <w:b/>
                <w:bCs/>
                <w:color w:val="000000" w:themeColor="text1"/>
                <w:szCs w:val="21"/>
                <w14:textFill>
                  <w14:solidFill>
                    <w14:schemeClr w14:val="tx1"/>
                  </w14:solidFill>
                </w14:textFill>
              </w:rPr>
            </w:pPr>
            <w:r>
              <w:rPr>
                <w:rFonts w:hint="eastAsia" w:ascii="Calibri" w:hAnsi="Calibri"/>
                <w:b/>
                <w:bCs/>
                <w:color w:val="000000" w:themeColor="text1"/>
                <w:szCs w:val="21"/>
                <w14:textFill>
                  <w14:solidFill>
                    <w14:schemeClr w14:val="tx1"/>
                  </w14:solidFill>
                </w14:textFill>
              </w:rPr>
              <w:t>一级分类</w:t>
            </w:r>
          </w:p>
        </w:tc>
        <w:tc>
          <w:tcPr>
            <w:tcW w:w="2693" w:type="dxa"/>
            <w:noWrap/>
          </w:tcPr>
          <w:p>
            <w:pPr>
              <w:spacing w:line="360" w:lineRule="auto"/>
              <w:ind w:firstLine="422" w:firstLineChars="200"/>
              <w:rPr>
                <w:rFonts w:ascii="Calibri" w:hAnsi="Calibri"/>
                <w:b/>
                <w:bCs/>
                <w:color w:val="000000" w:themeColor="text1"/>
                <w:szCs w:val="21"/>
                <w14:textFill>
                  <w14:solidFill>
                    <w14:schemeClr w14:val="tx1"/>
                  </w14:solidFill>
                </w14:textFill>
              </w:rPr>
            </w:pPr>
            <w:r>
              <w:rPr>
                <w:rFonts w:hint="eastAsia" w:ascii="Calibri" w:hAnsi="Calibri"/>
                <w:b/>
                <w:bCs/>
                <w:color w:val="000000" w:themeColor="text1"/>
                <w:szCs w:val="21"/>
                <w14:textFill>
                  <w14:solidFill>
                    <w14:schemeClr w14:val="tx1"/>
                  </w14:solidFill>
                </w14:textFill>
              </w:rPr>
              <w:t>二级分类</w:t>
            </w:r>
          </w:p>
        </w:tc>
        <w:tc>
          <w:tcPr>
            <w:tcW w:w="1305" w:type="dxa"/>
            <w:noWrap/>
          </w:tcPr>
          <w:p>
            <w:pPr>
              <w:spacing w:line="360" w:lineRule="auto"/>
              <w:rPr>
                <w:rFonts w:ascii="Calibri" w:hAnsi="Calibri"/>
                <w:b/>
                <w:bCs/>
                <w:color w:val="000000" w:themeColor="text1"/>
                <w:szCs w:val="21"/>
                <w14:textFill>
                  <w14:solidFill>
                    <w14:schemeClr w14:val="tx1"/>
                  </w14:solidFill>
                </w14:textFill>
              </w:rPr>
            </w:pPr>
            <w:r>
              <w:rPr>
                <w:rFonts w:hint="eastAsia" w:ascii="Calibri" w:hAnsi="Calibri"/>
                <w:b/>
                <w:bCs/>
                <w:color w:val="000000" w:themeColor="text1"/>
                <w:szCs w:val="21"/>
                <w14:textFill>
                  <w14:solidFill>
                    <w14:schemeClr w14:val="tx1"/>
                  </w14:solidFill>
                </w14:textFill>
              </w:rPr>
              <w:t>风险等级</w:t>
            </w:r>
          </w:p>
        </w:tc>
        <w:tc>
          <w:tcPr>
            <w:tcW w:w="2239" w:type="dxa"/>
            <w:noWrap/>
          </w:tcPr>
          <w:p>
            <w:pPr>
              <w:spacing w:line="360" w:lineRule="auto"/>
              <w:ind w:firstLine="422" w:firstLineChars="200"/>
              <w:rPr>
                <w:rFonts w:ascii="Calibri" w:hAnsi="Calibri"/>
                <w:b/>
                <w:bCs/>
                <w:color w:val="000000" w:themeColor="text1"/>
                <w:szCs w:val="21"/>
                <w14:textFill>
                  <w14:solidFill>
                    <w14:schemeClr w14:val="tx1"/>
                  </w14:solidFill>
                </w14:textFill>
              </w:rPr>
            </w:pPr>
            <w:r>
              <w:rPr>
                <w:rFonts w:hint="eastAsia" w:ascii="Calibri" w:hAnsi="Calibri"/>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restart"/>
            <w:noWrap/>
            <w:vAlign w:val="center"/>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Ⅰ股票型</w:t>
            </w: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普通股票型基金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被动指数型基金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增强指数型基金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restart"/>
            <w:noWrap/>
            <w:vAlign w:val="center"/>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Ⅱ混合型</w:t>
            </w: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偏股混合型基金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平衡混合型基金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灵活配置型基金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偏债混合型基金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6" w:type="dxa"/>
            <w:vMerge w:val="restart"/>
            <w:noWrap/>
            <w:vAlign w:val="center"/>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Ⅲ债券型基金</w:t>
            </w: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中长期纯债型基金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R2</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短期纯债基金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R1</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混合债券型一级基金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R2</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混合债券型二级基金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w:t>
            </w:r>
            <w:r>
              <w:rPr>
                <w:rFonts w:hint="eastAsia" w:ascii="Calibri" w:hAnsi="Calibri"/>
                <w:color w:val="000000" w:themeColor="text1"/>
                <w:szCs w:val="21"/>
                <w:lang w:val="en-US" w:eastAsia="zh-CN"/>
                <w14:textFill>
                  <w14:solidFill>
                    <w14:schemeClr w14:val="tx1"/>
                  </w14:solidFill>
                </w14:textFill>
              </w:rPr>
              <w:t>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hint="default" w:ascii="Calibri" w:hAnsi="Calibri" w:eastAsia="宋体"/>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可转换债券型基金</w:t>
            </w:r>
          </w:p>
        </w:tc>
        <w:tc>
          <w:tcPr>
            <w:tcW w:w="1305" w:type="dxa"/>
            <w:noWrap/>
          </w:tcPr>
          <w:p>
            <w:pPr>
              <w:spacing w:line="360" w:lineRule="auto"/>
              <w:ind w:firstLine="420" w:firstLineChars="200"/>
              <w:rPr>
                <w:rFonts w:hint="default" w:ascii="Calibri" w:hAnsi="Calibri" w:eastAsia="宋体"/>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R3</w:t>
            </w:r>
          </w:p>
        </w:tc>
        <w:tc>
          <w:tcPr>
            <w:tcW w:w="2239" w:type="dxa"/>
            <w:noWrap/>
          </w:tcPr>
          <w:p>
            <w:pPr>
              <w:spacing w:line="360" w:lineRule="auto"/>
              <w:ind w:firstLine="420" w:firstLineChars="200"/>
              <w:rPr>
                <w:rFonts w:hint="eastAsia"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被动指数型债券基金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R2</w:t>
            </w:r>
          </w:p>
        </w:tc>
        <w:tc>
          <w:tcPr>
            <w:tcW w:w="2239" w:type="dxa"/>
            <w:noWrap/>
          </w:tcPr>
          <w:p>
            <w:pPr>
              <w:spacing w:line="360" w:lineRule="auto"/>
              <w:ind w:firstLine="0" w:firstLine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lang w:bidi="ar"/>
                <w14:textFill>
                  <w14:solidFill>
                    <w14:schemeClr w14:val="tx1"/>
                  </w14:solidFill>
                </w14:textFill>
              </w:rPr>
              <w:t>基金全称中包含“可转债”字段，定义风险等级为R3；其余为R2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增强指数型债券基金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R2</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lang w:bidi="ar"/>
                <w14:textFill>
                  <w14:solidFill>
                    <w14:schemeClr w14:val="tx1"/>
                  </w14:solidFill>
                </w14:textFill>
              </w:rPr>
              <w:t>同业存单</w:t>
            </w:r>
            <w:r>
              <w:rPr>
                <w:rFonts w:ascii="Calibri" w:hAnsi="Calibri"/>
                <w:color w:val="000000" w:themeColor="text1"/>
                <w:szCs w:val="21"/>
                <w:lang w:bidi="ar"/>
                <w14:textFill>
                  <w14:solidFill>
                    <w14:schemeClr w14:val="tx1"/>
                  </w14:solidFill>
                </w14:textFill>
              </w:rPr>
              <w:t>AAA</w:t>
            </w:r>
          </w:p>
        </w:tc>
        <w:tc>
          <w:tcPr>
            <w:tcW w:w="1305" w:type="dxa"/>
            <w:noWrap/>
          </w:tcPr>
          <w:p>
            <w:pPr>
              <w:spacing w:line="360" w:lineRule="auto"/>
              <w:ind w:firstLine="420" w:firstLineChars="200"/>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R1</w:t>
            </w:r>
          </w:p>
        </w:tc>
        <w:tc>
          <w:tcPr>
            <w:tcW w:w="2239" w:type="dxa"/>
            <w:noWrap/>
          </w:tcPr>
          <w:p>
            <w:pPr>
              <w:spacing w:line="360" w:lineRule="auto"/>
              <w:ind w:firstLine="0" w:firstLineChars="0"/>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lang w:bidi="ar"/>
                <w14:textFill>
                  <w14:solidFill>
                    <w14:schemeClr w14:val="tx1"/>
                  </w14:solidFill>
                </w14:textFill>
              </w:rPr>
              <w:t>基金全称中包含“同业存单</w:t>
            </w:r>
            <w:r>
              <w:rPr>
                <w:rFonts w:ascii="Calibri" w:hAnsi="Calibri"/>
                <w:color w:val="000000" w:themeColor="text1"/>
                <w:szCs w:val="21"/>
                <w:lang w:bidi="ar"/>
                <w14:textFill>
                  <w14:solidFill>
                    <w14:schemeClr w14:val="tx1"/>
                  </w14:solidFill>
                </w14:textFill>
              </w:rPr>
              <w:t>AAA</w:t>
            </w:r>
            <w:r>
              <w:rPr>
                <w:rFonts w:hint="eastAsia" w:ascii="Calibri" w:hAnsi="Calibri"/>
                <w:color w:val="000000" w:themeColor="text1"/>
                <w:szCs w:val="21"/>
                <w:lang w:bidi="ar"/>
                <w14:textFill>
                  <w14:solidFill>
                    <w14:schemeClr w14:val="tx1"/>
                  </w14:solidFill>
                </w14:textFill>
              </w:rPr>
              <w:t>”字段，定义风险等级为R1；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noWrap/>
            <w:vAlign w:val="center"/>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Ⅳ货币市场型</w:t>
            </w: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货币市场型基金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R1</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26" w:type="dxa"/>
            <w:vMerge w:val="restart"/>
            <w:noWrap/>
            <w:vAlign w:val="center"/>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Ⅴ另类投资</w:t>
            </w: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股票多空</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hint="default" w:ascii="Calibri" w:hAnsi="Calibri" w:eastAsia="宋体"/>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商品型基金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w:t>
            </w:r>
            <w:r>
              <w:rPr>
                <w:rFonts w:hint="eastAsia" w:ascii="Calibri" w:hAnsi="Calibri"/>
                <w:color w:val="000000" w:themeColor="text1"/>
                <w:szCs w:val="21"/>
                <w:lang w:val="en-US" w:eastAsia="zh-CN"/>
                <w14:textFill>
                  <w14:solidFill>
                    <w14:schemeClr w14:val="tx1"/>
                  </w14:solidFill>
                </w14:textFill>
              </w:rPr>
              <w:t>4</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26" w:type="dxa"/>
            <w:vMerge w:val="continue"/>
            <w:noWrap/>
            <w:vAlign w:val="center"/>
          </w:tcPr>
          <w:p>
            <w:pPr>
              <w:spacing w:line="360" w:lineRule="auto"/>
              <w:ind w:firstLine="420" w:firstLineChars="200"/>
              <w:jc w:val="center"/>
              <w:rPr>
                <w:rFonts w:ascii="Calibri" w:hAnsi="Calibri"/>
                <w:color w:val="000000" w:themeColor="text1"/>
                <w:szCs w:val="21"/>
                <w14:textFill>
                  <w14:solidFill>
                    <w14:schemeClr w14:val="tx1"/>
                  </w14:solidFill>
                </w14:textFill>
              </w:rPr>
            </w:pPr>
          </w:p>
        </w:tc>
        <w:tc>
          <w:tcPr>
            <w:tcW w:w="2693" w:type="dxa"/>
            <w:noWrap/>
          </w:tcPr>
          <w:p>
            <w:pPr>
              <w:spacing w:line="360" w:lineRule="auto"/>
              <w:ind w:firstLine="420" w:firstLineChars="20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类</w:t>
            </w:r>
            <w:r>
              <w:rPr>
                <w:rFonts w:hint="eastAsia" w:ascii="Calibri" w:hAnsi="Calibri"/>
                <w:color w:val="000000" w:themeColor="text1"/>
                <w:szCs w:val="21"/>
                <w14:textFill>
                  <w14:solidFill>
                    <w14:schemeClr w14:val="tx1"/>
                  </w14:solidFill>
                </w14:textFill>
              </w:rPr>
              <w:t>REITs</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26" w:type="dxa"/>
            <w:vMerge w:val="restart"/>
            <w:noWrap/>
            <w:vAlign w:val="center"/>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QDII基金</w:t>
            </w: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国际（QDII）股票型基金</w:t>
            </w:r>
          </w:p>
        </w:tc>
        <w:tc>
          <w:tcPr>
            <w:tcW w:w="1305" w:type="dxa"/>
            <w:noWrap/>
          </w:tcPr>
          <w:p>
            <w:pPr>
              <w:spacing w:line="360" w:lineRule="auto"/>
              <w:ind w:firstLine="420" w:firstLineChars="20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R4</w:t>
            </w:r>
          </w:p>
        </w:tc>
        <w:tc>
          <w:tcPr>
            <w:tcW w:w="2239" w:type="dxa"/>
            <w:vMerge w:val="restart"/>
          </w:tcPr>
          <w:p>
            <w:pPr>
              <w:spacing w:line="360" w:lineRule="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阅读投资范围，根据其股票等投资品种的比例，判定属于Ⅰ股票型下属的哪一类，赋予对应风险分。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国际（QDII）混合型基金</w:t>
            </w:r>
          </w:p>
        </w:tc>
        <w:tc>
          <w:tcPr>
            <w:tcW w:w="1305" w:type="dxa"/>
            <w:noWrap/>
          </w:tcPr>
          <w:p>
            <w:pPr>
              <w:spacing w:line="360" w:lineRule="auto"/>
              <w:ind w:firstLine="0" w:firstLineChars="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R3、</w:t>
            </w:r>
            <w:r>
              <w:rPr>
                <w:rFonts w:hint="eastAsia" w:ascii="Calibri" w:hAnsi="Calibri"/>
                <w:color w:val="000000" w:themeColor="text1"/>
                <w:szCs w:val="21"/>
                <w14:textFill>
                  <w14:solidFill>
                    <w14:schemeClr w14:val="tx1"/>
                  </w14:solidFill>
                </w14:textFill>
              </w:rPr>
              <w:t>R4</w:t>
            </w:r>
          </w:p>
        </w:tc>
        <w:tc>
          <w:tcPr>
            <w:tcW w:w="2239"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6"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国际（QDII）另类投资基金</w:t>
            </w:r>
          </w:p>
        </w:tc>
        <w:tc>
          <w:tcPr>
            <w:tcW w:w="1305" w:type="dxa"/>
            <w:noWrap/>
          </w:tcPr>
          <w:p>
            <w:pPr>
              <w:spacing w:line="360" w:lineRule="auto"/>
              <w:ind w:firstLine="0" w:firstLine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R3</w:t>
            </w:r>
            <w:r>
              <w:rPr>
                <w:rFonts w:hint="eastAsia" w:ascii="Calibri" w:hAnsi="Calibri"/>
                <w:color w:val="000000" w:themeColor="text1"/>
                <w:szCs w:val="21"/>
                <w:lang w:eastAsia="zh-CN"/>
                <w14:textFill>
                  <w14:solidFill>
                    <w14:schemeClr w14:val="tx1"/>
                  </w14:solidFill>
                </w14:textFill>
              </w:rPr>
              <w:t>、</w:t>
            </w:r>
            <w:r>
              <w:rPr>
                <w:rFonts w:hint="eastAsia" w:ascii="Calibri" w:hAnsi="Calibri"/>
                <w:color w:val="000000" w:themeColor="text1"/>
                <w:szCs w:val="21"/>
                <w:lang w:val="en-US" w:eastAsia="zh-CN"/>
                <w14:textFill>
                  <w14:solidFill>
                    <w14:schemeClr w14:val="tx1"/>
                  </w14:solidFill>
                </w14:textFill>
              </w:rPr>
              <w:t>R4、R5</w:t>
            </w:r>
          </w:p>
        </w:tc>
        <w:tc>
          <w:tcPr>
            <w:tcW w:w="2239"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6"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国际（QDII）</w:t>
            </w:r>
            <w:r>
              <w:rPr>
                <w:rFonts w:hint="eastAsia" w:ascii="Calibri" w:hAnsi="Calibri"/>
                <w:color w:val="000000" w:themeColor="text1"/>
                <w:szCs w:val="21"/>
                <w:lang w:val="en-US" w:eastAsia="zh-CN"/>
                <w14:textFill>
                  <w14:solidFill>
                    <w14:schemeClr w14:val="tx1"/>
                  </w14:solidFill>
                </w14:textFill>
              </w:rPr>
              <w:t>债券型</w:t>
            </w:r>
            <w:r>
              <w:rPr>
                <w:rFonts w:hint="eastAsia" w:ascii="Calibri" w:hAnsi="Calibri"/>
                <w:color w:val="000000" w:themeColor="text1"/>
                <w:szCs w:val="21"/>
                <w14:textFill>
                  <w14:solidFill>
                    <w14:schemeClr w14:val="tx1"/>
                  </w14:solidFill>
                </w14:textFill>
              </w:rPr>
              <w:t>基金</w:t>
            </w:r>
          </w:p>
        </w:tc>
        <w:tc>
          <w:tcPr>
            <w:tcW w:w="1305" w:type="dxa"/>
            <w:noWrap/>
          </w:tcPr>
          <w:p>
            <w:pPr>
              <w:spacing w:line="360" w:lineRule="auto"/>
              <w:ind w:firstLine="420" w:firstLineChars="200"/>
              <w:rPr>
                <w:rFonts w:hint="default" w:ascii="Calibri" w:hAnsi="Calibri" w:eastAsia="宋体"/>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R2</w:t>
            </w:r>
          </w:p>
        </w:tc>
        <w:tc>
          <w:tcPr>
            <w:tcW w:w="2239"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6" w:type="dxa"/>
            <w:vMerge w:val="restart"/>
            <w:noWrap/>
          </w:tcPr>
          <w:p>
            <w:pPr>
              <w:spacing w:line="360" w:lineRule="auto"/>
              <w:ind w:firstLine="0" w:firstLineChars="0"/>
              <w:rPr>
                <w:rFonts w:hint="eastAsia" w:ascii="Calibri" w:hAnsi="Calibri"/>
                <w:color w:val="000000" w:themeColor="text1"/>
                <w:szCs w:val="21"/>
                <w14:textFill>
                  <w14:solidFill>
                    <w14:schemeClr w14:val="tx1"/>
                  </w14:solidFill>
                </w14:textFill>
              </w:rPr>
            </w:pPr>
          </w:p>
          <w:p>
            <w:pPr>
              <w:spacing w:line="360" w:lineRule="auto"/>
              <w:ind w:firstLine="0" w:firstLineChars="0"/>
              <w:rPr>
                <w:rFonts w:hint="eastAsia" w:ascii="Calibri" w:hAnsi="Calibri"/>
                <w:color w:val="000000" w:themeColor="text1"/>
                <w:szCs w:val="21"/>
                <w14:textFill>
                  <w14:solidFill>
                    <w14:schemeClr w14:val="tx1"/>
                  </w14:solidFill>
                </w14:textFill>
              </w:rPr>
            </w:pPr>
          </w:p>
          <w:p>
            <w:pPr>
              <w:spacing w:line="360" w:lineRule="auto"/>
              <w:ind w:firstLine="0" w:firstLineChars="0"/>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FOF基金</w:t>
            </w:r>
          </w:p>
        </w:tc>
        <w:tc>
          <w:tcPr>
            <w:tcW w:w="2693" w:type="dxa"/>
            <w:noWrap/>
          </w:tcPr>
          <w:p>
            <w:pPr>
              <w:spacing w:line="360" w:lineRule="auto"/>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股票型FOF基金</w:t>
            </w:r>
          </w:p>
        </w:tc>
        <w:tc>
          <w:tcPr>
            <w:tcW w:w="1305" w:type="dxa"/>
            <w:noWrap/>
          </w:tcPr>
          <w:p>
            <w:pPr>
              <w:spacing w:line="360" w:lineRule="auto"/>
              <w:ind w:firstLine="420" w:firstLineChars="200"/>
              <w:rPr>
                <w:rFonts w:hint="default" w:ascii="Calibri" w:hAnsi="Calibri"/>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6"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混合型FOF基金</w:t>
            </w:r>
          </w:p>
        </w:tc>
        <w:tc>
          <w:tcPr>
            <w:tcW w:w="1305" w:type="dxa"/>
            <w:noWrap/>
          </w:tcPr>
          <w:p>
            <w:pPr>
              <w:spacing w:line="360" w:lineRule="auto"/>
              <w:ind w:firstLine="420" w:firstLineChars="200"/>
              <w:rPr>
                <w:rFonts w:hint="eastAsia" w:ascii="Calibri" w:hAnsi="Calibri"/>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R3</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6" w:type="dxa"/>
            <w:vMerge w:val="continue"/>
            <w:noWrap/>
          </w:tcPr>
          <w:p>
            <w:pPr>
              <w:spacing w:line="360" w:lineRule="auto"/>
              <w:ind w:firstLine="420" w:firstLineChars="200"/>
              <w:rPr>
                <w:rFonts w:ascii="Calibri" w:hAnsi="Calibri"/>
                <w:color w:val="000000" w:themeColor="text1"/>
                <w:szCs w:val="21"/>
                <w14:textFill>
                  <w14:solidFill>
                    <w14:schemeClr w14:val="tx1"/>
                  </w14:solidFill>
                </w14:textFill>
              </w:rPr>
            </w:pPr>
          </w:p>
        </w:tc>
        <w:tc>
          <w:tcPr>
            <w:tcW w:w="2693" w:type="dxa"/>
            <w:noWrap/>
          </w:tcPr>
          <w:p>
            <w:pPr>
              <w:spacing w:line="360" w:lineRule="auto"/>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债券型FOF基金</w:t>
            </w:r>
          </w:p>
        </w:tc>
        <w:tc>
          <w:tcPr>
            <w:tcW w:w="1305" w:type="dxa"/>
            <w:noWrap/>
          </w:tcPr>
          <w:p>
            <w:pPr>
              <w:spacing w:line="360" w:lineRule="auto"/>
              <w:ind w:firstLine="420" w:firstLineChars="200"/>
              <w:rPr>
                <w:rFonts w:hint="eastAsia" w:ascii="Calibri" w:hAnsi="Calibri"/>
                <w:color w:val="000000" w:themeColor="text1"/>
                <w:szCs w:val="21"/>
                <w:lang w:val="en-US"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R2</w:t>
            </w:r>
          </w:p>
        </w:tc>
        <w:tc>
          <w:tcPr>
            <w:tcW w:w="2239" w:type="dxa"/>
            <w:noWrap/>
          </w:tcPr>
          <w:p>
            <w:pPr>
              <w:spacing w:line="360" w:lineRule="auto"/>
              <w:ind w:firstLine="420" w:firstLineChars="200"/>
              <w:rPr>
                <w:rFonts w:ascii="Calibri" w:hAnsi="Calibri"/>
                <w:color w:val="000000" w:themeColor="text1"/>
                <w:szCs w:val="21"/>
                <w14:textFill>
                  <w14:solidFill>
                    <w14:schemeClr w14:val="tx1"/>
                  </w14:solidFill>
                </w14:textFill>
              </w:rPr>
            </w:pPr>
          </w:p>
        </w:tc>
      </w:tr>
    </w:tbl>
    <w:p>
      <w:pPr>
        <w:pStyle w:val="2"/>
        <w:ind w:left="0" w:leftChars="0" w:firstLine="42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备注：以上</w:t>
      </w:r>
      <w:r>
        <w:rPr>
          <w:rFonts w:hint="eastAsia" w:ascii="Times New Roman" w:hAnsi="Times New Roman"/>
          <w:b w:val="0"/>
          <w:bCs w:val="0"/>
          <w:color w:val="000000" w:themeColor="text1"/>
          <w:szCs w:val="21"/>
          <w14:textFill>
            <w14:solidFill>
              <w14:schemeClr w14:val="tx1"/>
            </w14:solidFill>
          </w14:textFill>
        </w:rPr>
        <w:t>风险等级</w:t>
      </w:r>
      <w:r>
        <w:rPr>
          <w:rFonts w:hint="eastAsia" w:ascii="Times New Roman" w:hAnsi="Times New Roman"/>
          <w:b w:val="0"/>
          <w:bCs w:val="0"/>
          <w:color w:val="000000" w:themeColor="text1"/>
          <w:szCs w:val="21"/>
          <w:lang w:val="en-US" w:eastAsia="zh-CN"/>
          <w14:textFill>
            <w14:solidFill>
              <w14:schemeClr w14:val="tx1"/>
            </w14:solidFill>
          </w14:textFill>
        </w:rPr>
        <w:t>跟随季度评级模型调整</w:t>
      </w:r>
      <w:r>
        <w:rPr>
          <w:rFonts w:hint="eastAsia"/>
          <w:b w:val="0"/>
          <w:bCs w:val="0"/>
          <w:color w:val="000000" w:themeColor="text1"/>
          <w:szCs w:val="21"/>
          <w:lang w:val="en-US" w:eastAsia="zh-CN"/>
          <w14:textFill>
            <w14:solidFill>
              <w14:schemeClr w14:val="tx1"/>
            </w14:solidFill>
          </w14:textFill>
        </w:rPr>
        <w:t>而调整。</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二、根据基金给出特征决定是否上调风险等级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基于基金分类确定基金基准风险等级后，</w:t>
      </w:r>
      <w:r>
        <w:rPr>
          <w:rFonts w:hint="eastAsia"/>
          <w:color w:val="000000" w:themeColor="text1"/>
          <w:lang w:val="en-US" w:eastAsia="zh-CN"/>
          <w14:textFill>
            <w14:solidFill>
              <w14:schemeClr w14:val="tx1"/>
            </w14:solidFill>
          </w14:textFill>
        </w:rPr>
        <w:t>采取多阶段评价法综合考虑以下因素决定是否上调风险等级：</w:t>
      </w:r>
    </w:p>
    <w:p>
      <w:pPr>
        <w:widowControl/>
        <w:spacing w:line="360" w:lineRule="auto"/>
        <w:ind w:firstLine="420"/>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定量条件</w:t>
      </w:r>
    </w:p>
    <w:p>
      <w:pPr>
        <w:widowControl/>
        <w:spacing w:line="360" w:lineRule="auto"/>
        <w:ind w:firstLine="42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流动性：</w:t>
      </w:r>
      <w:r>
        <w:rPr>
          <w:rFonts w:hint="eastAsia" w:ascii="Times New Roman" w:hAnsi="Times New Roman" w:eastAsia="宋体"/>
          <w:color w:val="000000" w:themeColor="text1"/>
          <w:sz w:val="21"/>
          <w:szCs w:val="24"/>
          <w:lang w:bidi="ar"/>
          <w14:textFill>
            <w14:solidFill>
              <w14:schemeClr w14:val="tx1"/>
            </w14:solidFill>
          </w14:textFill>
        </w:rPr>
        <w:t>成立</w:t>
      </w:r>
      <w:r>
        <w:rPr>
          <w:rFonts w:ascii="Times New Roman" w:hAnsi="Times New Roman" w:eastAsia="宋体"/>
          <w:color w:val="000000" w:themeColor="text1"/>
          <w:sz w:val="21"/>
          <w:szCs w:val="24"/>
          <w:lang w:bidi="ar"/>
          <w14:textFill>
            <w14:solidFill>
              <w14:schemeClr w14:val="tx1"/>
            </w14:solidFill>
          </w14:textFill>
        </w:rPr>
        <w:t>2年</w:t>
      </w:r>
      <w:r>
        <w:rPr>
          <w:rFonts w:hint="eastAsia" w:ascii="Times New Roman" w:hAnsi="Times New Roman" w:eastAsia="宋体"/>
          <w:color w:val="000000" w:themeColor="text1"/>
          <w:sz w:val="21"/>
          <w:szCs w:val="24"/>
          <w:lang w:bidi="ar"/>
          <w14:textFill>
            <w14:solidFill>
              <w14:schemeClr w14:val="tx1"/>
            </w14:solidFill>
          </w14:textFill>
        </w:rPr>
        <w:t>（含）至4年</w:t>
      </w:r>
      <w:r>
        <w:rPr>
          <w:rFonts w:ascii="Times New Roman" w:hAnsi="Times New Roman" w:eastAsia="宋体"/>
          <w:color w:val="000000" w:themeColor="text1"/>
          <w:sz w:val="21"/>
          <w:szCs w:val="24"/>
          <w:lang w:bidi="ar"/>
          <w14:textFill>
            <w14:solidFill>
              <w14:schemeClr w14:val="tx1"/>
            </w14:solidFill>
          </w14:textFill>
        </w:rPr>
        <w:t>的基金，考虑规模（流动性）风险——规模1亿以下，则风险等级上调一级。</w:t>
      </w:r>
    </w:p>
    <w:p>
      <w:pPr>
        <w:widowControl/>
        <w:numPr>
          <w:ilvl w:val="0"/>
          <w:numId w:val="1"/>
        </w:numPr>
        <w:spacing w:line="360" w:lineRule="auto"/>
        <w:ind w:firstLine="420"/>
        <w:jc w:val="left"/>
        <w:rPr>
          <w:rFonts w:ascii="Times New Roman" w:hAnsi="Times New Roman" w:eastAsia="宋体"/>
          <w:color w:val="000000" w:themeColor="text1"/>
          <w:sz w:val="21"/>
          <w:szCs w:val="24"/>
          <w:lang w:bidi="ar"/>
          <w14:textFill>
            <w14:solidFill>
              <w14:schemeClr w14:val="tx1"/>
            </w14:solidFill>
          </w14:textFill>
        </w:rPr>
      </w:pPr>
      <w:r>
        <w:rPr>
          <w:rFonts w:hint="eastAsia"/>
          <w:color w:val="000000" w:themeColor="text1"/>
          <w14:textFill>
            <w14:solidFill>
              <w14:schemeClr w14:val="tx1"/>
            </w14:solidFill>
          </w14:textFill>
        </w:rPr>
        <w:t>波动性：</w:t>
      </w:r>
      <w:r>
        <w:rPr>
          <w:rFonts w:hint="eastAsia" w:ascii="Times New Roman" w:hAnsi="Times New Roman" w:eastAsia="宋体"/>
          <w:color w:val="000000" w:themeColor="text1"/>
          <w:sz w:val="21"/>
          <w:szCs w:val="24"/>
          <w:lang w:bidi="ar"/>
          <w14:textFill>
            <w14:solidFill>
              <w14:schemeClr w14:val="tx1"/>
            </w14:solidFill>
          </w14:textFill>
        </w:rPr>
        <w:t>成立</w:t>
      </w:r>
      <w:r>
        <w:rPr>
          <w:rFonts w:ascii="Times New Roman" w:hAnsi="Times New Roman" w:eastAsia="宋体"/>
          <w:color w:val="000000" w:themeColor="text1"/>
          <w:sz w:val="21"/>
          <w:szCs w:val="24"/>
          <w:lang w:bidi="ar"/>
          <w14:textFill>
            <w14:solidFill>
              <w14:schemeClr w14:val="tx1"/>
            </w14:solidFill>
          </w14:textFill>
        </w:rPr>
        <w:t>4年</w:t>
      </w:r>
      <w:r>
        <w:rPr>
          <w:rFonts w:hint="eastAsia" w:ascii="Times New Roman" w:hAnsi="Times New Roman" w:eastAsia="宋体"/>
          <w:color w:val="000000" w:themeColor="text1"/>
          <w:sz w:val="21"/>
          <w:szCs w:val="24"/>
          <w:lang w:bidi="ar"/>
          <w14:textFill>
            <w14:solidFill>
              <w14:schemeClr w14:val="tx1"/>
            </w14:solidFill>
          </w14:textFill>
        </w:rPr>
        <w:t>（含）</w:t>
      </w:r>
      <w:r>
        <w:rPr>
          <w:rFonts w:ascii="Times New Roman" w:hAnsi="Times New Roman" w:eastAsia="宋体"/>
          <w:color w:val="000000" w:themeColor="text1"/>
          <w:sz w:val="21"/>
          <w:szCs w:val="24"/>
          <w:lang w:bidi="ar"/>
          <w14:textFill>
            <w14:solidFill>
              <w14:schemeClr w14:val="tx1"/>
            </w14:solidFill>
          </w14:textFill>
        </w:rPr>
        <w:t>以上的基金，考虑波动风险——基准风险等级为R2的，若近3年最大回撤大于5%，则风险等级上调一级。基准风险等级为R3的，若近3年年化波动率大于30%，则风险等级上调一级。</w:t>
      </w:r>
    </w:p>
    <w:p>
      <w:pPr>
        <w:widowControl/>
        <w:spacing w:line="360" w:lineRule="auto"/>
        <w:ind w:firstLine="420"/>
        <w:jc w:val="left"/>
        <w:rPr>
          <w:color w:val="000000" w:themeColor="text1"/>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2、定性条件</w:t>
      </w:r>
    </w:p>
    <w:p>
      <w:pPr>
        <w:pStyle w:val="10"/>
        <w:spacing w:line="360" w:lineRule="auto"/>
        <w:rPr>
          <w:rFonts w:ascii="Times New Roman" w:hAnsi="Times New Roman" w:eastAsia="宋体"/>
          <w:color w:val="000000" w:themeColor="text1"/>
          <w:sz w:val="21"/>
          <w:szCs w:val="24"/>
          <w:lang w:bidi="ar"/>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ascii="Times New Roman" w:hAnsi="Times New Roman" w:eastAsia="宋体"/>
          <w:color w:val="000000" w:themeColor="text1"/>
          <w:sz w:val="21"/>
          <w:szCs w:val="24"/>
          <w:lang w:bidi="ar"/>
          <w14:textFill>
            <w14:solidFill>
              <w14:schemeClr w14:val="tx1"/>
            </w14:solidFill>
          </w14:textFill>
        </w:rPr>
        <w:t>交易机制特殊性</w:t>
      </w:r>
      <w:r>
        <w:rPr>
          <w:rFonts w:hint="eastAsia" w:ascii="Times New Roman" w:hAnsi="Times New Roman"/>
          <w:color w:val="000000" w:themeColor="text1"/>
          <w:szCs w:val="24"/>
          <w:lang w:bidi="ar"/>
          <w14:textFill>
            <w14:solidFill>
              <w14:schemeClr w14:val="tx1"/>
            </w14:solidFill>
          </w14:textFill>
        </w:rPr>
        <w:t>：</w:t>
      </w:r>
      <w:r>
        <w:rPr>
          <w:rFonts w:hint="eastAsia" w:ascii="Times New Roman" w:hAnsi="Times New Roman" w:eastAsia="宋体"/>
          <w:color w:val="000000" w:themeColor="text1"/>
          <w:sz w:val="21"/>
          <w:szCs w:val="24"/>
          <w:lang w:bidi="ar"/>
          <w14:textFill>
            <w14:solidFill>
              <w14:schemeClr w14:val="tx1"/>
            </w14:solidFill>
          </w14:textFill>
        </w:rPr>
        <w:t>考虑注册制改革背景下科创板、创业板、北交所交易机制方面的特殊性，对于</w:t>
      </w:r>
      <w:r>
        <w:rPr>
          <w:rFonts w:hint="eastAsia" w:ascii="Times New Roman" w:hAnsi="Times New Roman"/>
          <w:color w:val="000000" w:themeColor="text1"/>
          <w:szCs w:val="24"/>
          <w:lang w:bidi="ar"/>
          <w14:textFill>
            <w14:solidFill>
              <w14:schemeClr w14:val="tx1"/>
            </w14:solidFill>
          </w14:textFill>
        </w:rPr>
        <w:t>投资范围</w:t>
      </w:r>
      <w:r>
        <w:rPr>
          <w:rFonts w:hint="eastAsia" w:ascii="Times New Roman" w:hAnsi="Times New Roman" w:eastAsia="宋体"/>
          <w:color w:val="000000" w:themeColor="text1"/>
          <w:sz w:val="21"/>
          <w:szCs w:val="24"/>
          <w:lang w:bidi="ar"/>
          <w14:textFill>
            <w14:solidFill>
              <w14:schemeClr w14:val="tx1"/>
            </w14:solidFill>
          </w14:textFill>
        </w:rPr>
        <w:t>以科创板、创业板、北交所为</w:t>
      </w:r>
      <w:r>
        <w:rPr>
          <w:rFonts w:hint="eastAsia" w:ascii="Times New Roman" w:hAnsi="Times New Roman"/>
          <w:color w:val="000000" w:themeColor="text1"/>
          <w:szCs w:val="24"/>
          <w:lang w:bidi="ar"/>
          <w14:textFill>
            <w14:solidFill>
              <w14:schemeClr w14:val="tx1"/>
            </w14:solidFill>
          </w14:textFill>
        </w:rPr>
        <w:t>主题投资的基金产品</w:t>
      </w:r>
      <w:r>
        <w:rPr>
          <w:rFonts w:hint="eastAsia" w:ascii="Times New Roman" w:hAnsi="Times New Roman" w:eastAsia="宋体"/>
          <w:color w:val="000000" w:themeColor="text1"/>
          <w:sz w:val="21"/>
          <w:szCs w:val="24"/>
          <w:lang w:bidi="ar"/>
          <w14:textFill>
            <w14:solidFill>
              <w14:schemeClr w14:val="tx1"/>
            </w14:solidFill>
          </w14:textFill>
        </w:rPr>
        <w:t>，风险等级上调一级。</w:t>
      </w:r>
    </w:p>
    <w:p>
      <w:pPr>
        <w:widowControl/>
        <w:spacing w:line="360" w:lineRule="auto"/>
        <w:ind w:firstLine="420"/>
        <w:jc w:val="left"/>
        <w:rPr>
          <w:rFonts w:ascii="Times New Roman" w:hAnsi="Times New Roman" w:eastAsia="宋体"/>
          <w:color w:val="000000" w:themeColor="text1"/>
          <w:sz w:val="21"/>
          <w:szCs w:val="24"/>
          <w:lang w:bidi="ar"/>
          <w14:textFill>
            <w14:solidFill>
              <w14:schemeClr w14:val="tx1"/>
            </w14:solidFill>
          </w14:textFill>
        </w:rPr>
      </w:pPr>
      <w:r>
        <w:rPr>
          <w:rFonts w:hint="eastAsia"/>
          <w:color w:val="000000" w:themeColor="text1"/>
          <w:lang w:val="en-US" w:eastAsia="zh-CN" w:bidi="ar"/>
          <w14:textFill>
            <w14:solidFill>
              <w14:schemeClr w14:val="tx1"/>
            </w14:solidFill>
          </w14:textFill>
        </w:rPr>
        <w:t>2）</w:t>
      </w:r>
      <w:r>
        <w:rPr>
          <w:rFonts w:hint="eastAsia"/>
          <w:color w:val="000000" w:themeColor="text1"/>
          <w:lang w:bidi="ar"/>
          <w14:textFill>
            <w14:solidFill>
              <w14:schemeClr w14:val="tx1"/>
            </w14:solidFill>
          </w14:textFill>
        </w:rPr>
        <w:t>管理人风险：</w:t>
      </w:r>
      <w:r>
        <w:rPr>
          <w:rFonts w:hint="eastAsia" w:ascii="Times New Roman" w:hAnsi="Times New Roman" w:eastAsia="宋体"/>
          <w:color w:val="000000" w:themeColor="text1"/>
          <w:sz w:val="21"/>
          <w:szCs w:val="24"/>
          <w:lang w:bidi="ar"/>
          <w14:textFill>
            <w14:solidFill>
              <w14:schemeClr w14:val="tx1"/>
            </w14:solidFill>
          </w14:textFill>
        </w:rPr>
        <w:t>根据管理人风险调整风险等级，若基金管理人被列为风险管理人，则风险等级上调一级。</w:t>
      </w:r>
    </w:p>
    <w:p>
      <w:pPr>
        <w:pStyle w:val="10"/>
        <w:spacing w:line="360" w:lineRule="auto"/>
        <w:rPr>
          <w:rFonts w:ascii="Times New Roman" w:hAnsi="Times New Roman" w:eastAsia="宋体"/>
          <w:color w:val="000000" w:themeColor="text1"/>
          <w:sz w:val="21"/>
          <w:szCs w:val="24"/>
          <w:lang w:bidi="ar"/>
          <w14:textFill>
            <w14:solidFill>
              <w14:schemeClr w14:val="tx1"/>
            </w14:solidFill>
          </w14:textFill>
        </w:rPr>
      </w:pPr>
      <w:r>
        <w:rPr>
          <w:rFonts w:hint="eastAsia" w:ascii="Times New Roman" w:hAnsi="Times New Roman"/>
          <w:color w:val="000000" w:themeColor="text1"/>
          <w:szCs w:val="24"/>
          <w:lang w:val="en-US" w:eastAsia="zh-CN" w:bidi="ar"/>
          <w14:textFill>
            <w14:solidFill>
              <w14:schemeClr w14:val="tx1"/>
            </w14:solidFill>
          </w14:textFill>
        </w:rPr>
        <w:t>3、</w:t>
      </w:r>
      <w:r>
        <w:rPr>
          <w:rFonts w:hint="eastAsia" w:ascii="Times New Roman" w:hAnsi="Times New Roman"/>
          <w:color w:val="000000" w:themeColor="text1"/>
          <w:szCs w:val="24"/>
          <w:lang w:bidi="ar"/>
          <w14:textFill>
            <w14:solidFill>
              <w14:schemeClr w14:val="tx1"/>
            </w14:solidFill>
          </w14:textFill>
        </w:rPr>
        <w:t>原则中</w:t>
      </w:r>
      <w:r>
        <w:rPr>
          <w:rFonts w:hint="eastAsia" w:ascii="Times New Roman" w:hAnsi="Times New Roman" w:eastAsia="宋体"/>
          <w:color w:val="000000" w:themeColor="text1"/>
          <w:sz w:val="21"/>
          <w:szCs w:val="24"/>
          <w:lang w:bidi="ar"/>
          <w14:textFill>
            <w14:solidFill>
              <w14:schemeClr w14:val="tx1"/>
            </w14:solidFill>
          </w14:textFill>
        </w:rPr>
        <w:t>所有风险等级调升条件不叠加，</w:t>
      </w:r>
      <w:r>
        <w:rPr>
          <w:rFonts w:hint="eastAsia" w:ascii="Times New Roman" w:hAnsi="Times New Roman"/>
          <w:color w:val="000000" w:themeColor="text1"/>
          <w:szCs w:val="24"/>
          <w:lang w:bidi="ar"/>
          <w14:textFill>
            <w14:solidFill>
              <w14:schemeClr w14:val="tx1"/>
            </w14:solidFill>
          </w14:textFill>
        </w:rPr>
        <w:t>特殊情况除外，</w:t>
      </w:r>
      <w:r>
        <w:rPr>
          <w:rFonts w:hint="eastAsia" w:ascii="Times New Roman" w:hAnsi="Times New Roman" w:eastAsia="宋体"/>
          <w:color w:val="000000" w:themeColor="text1"/>
          <w:sz w:val="21"/>
          <w:szCs w:val="24"/>
          <w:lang w:bidi="ar"/>
          <w14:textFill>
            <w14:solidFill>
              <w14:schemeClr w14:val="tx1"/>
            </w14:solidFill>
          </w14:textFill>
        </w:rPr>
        <w:t>九州风险评级最多在基础等级基础上上调一级。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三、复杂因素调整</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通过基金风险评价得分得出基金在评价季度内的风险等级后，本公司会再次审查基金产品是否存在下列因素：</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1、存在本金损失的可能性，因杠杆交易等因素容易导致本金大部分或者全部损失的；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2、投资杠杆达到相关要求上限、投资单一标的集中度过高的；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3、流动变现能力，因无公开交易市场、参与投资者少等因素导致难以在短期内以合理价格顺利变现的；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4、投资标的流动性差，存在非标准资产投资导致不易估值的；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5、可理解性，因结构复杂、不易估值等因素导致普通人难以理解其条款和特征的；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6、募集方式、涉及面广、影响力大的；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7、跨境因素，存在市场差异、适用境外法律等情形的跨境发行或者交易的；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8、基金管理人、实际控制人、高管人员涉嫌重大违法违规行为或正在接受监管部门或自律管理部门调查的；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9、自律组织认定的高风险基金产品；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10、其他可能构成投资风险的因素。</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若发现基金存在上述因素，将酌情调整其风险评级结果。</w:t>
      </w:r>
    </w:p>
    <w:p>
      <w:pPr>
        <w:widowControl/>
        <w:spacing w:line="360" w:lineRule="auto"/>
        <w:ind w:firstLine="420" w:firstLineChars="200"/>
        <w:jc w:val="left"/>
        <w:rPr>
          <w:color w:val="000000" w:themeColor="text1"/>
          <w14:textFill>
            <w14:solidFill>
              <w14:schemeClr w14:val="tx1"/>
            </w14:solidFill>
          </w14:textFill>
        </w:rPr>
      </w:pPr>
      <w:r>
        <w:rPr>
          <w:rFonts w:hint="eastAsia" w:ascii="Calibri" w:hAnsi="Calibri" w:cs="宋体"/>
          <w:color w:val="000000" w:themeColor="text1"/>
          <w:szCs w:val="22"/>
          <w:lang w:bidi="ar"/>
          <w14:textFill>
            <w14:solidFill>
              <w14:schemeClr w14:val="tx1"/>
            </w14:solidFill>
          </w14:textFill>
        </w:rPr>
        <w:t>当基金公司风险评级与</w:t>
      </w:r>
      <w:r>
        <w:rPr>
          <w:rFonts w:hint="eastAsia" w:ascii="Calibri" w:hAnsi="Calibri" w:cs="宋体"/>
          <w:color w:val="000000" w:themeColor="text1"/>
          <w:szCs w:val="22"/>
          <w:lang w:val="en-US" w:eastAsia="zh-CN" w:bidi="ar"/>
          <w14:textFill>
            <w14:solidFill>
              <w14:schemeClr w14:val="tx1"/>
            </w14:solidFill>
          </w14:textFill>
        </w:rPr>
        <w:t>我司</w:t>
      </w:r>
      <w:r>
        <w:rPr>
          <w:rFonts w:hint="eastAsia" w:ascii="Calibri" w:hAnsi="Calibri" w:cs="宋体"/>
          <w:color w:val="000000" w:themeColor="text1"/>
          <w:szCs w:val="22"/>
          <w:lang w:bidi="ar"/>
          <w14:textFill>
            <w14:solidFill>
              <w14:schemeClr w14:val="tx1"/>
            </w14:solidFill>
          </w14:textFill>
        </w:rPr>
        <w:t>风险评级不一致时，以二者风险等级孰高者为准。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四、风险等级评价规范定期修正</w:t>
      </w:r>
    </w:p>
    <w:p>
      <w:pPr>
        <w:spacing w:line="360" w:lineRule="auto"/>
        <w:ind w:firstLine="420" w:firstLineChars="200"/>
      </w:pPr>
      <w:r>
        <w:rPr>
          <w:rFonts w:hint="eastAsia"/>
          <w:color w:val="000000" w:themeColor="text1"/>
          <w14:textFill>
            <w14:solidFill>
              <w14:schemeClr w14:val="tx1"/>
            </w14:solidFill>
          </w14:textFill>
        </w:rPr>
        <w:t>经纪业务总部定期根据政策的变化（如有）等对本办法规定的风险评价业务规范进行修正或调整；同时每季度将参照本办法规定的风险评价业务规范，和基金公司的最新一期产品风险等级建议，对旗下代销证券投资基金风险等级进行定期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501BA"/>
    <w:multiLevelType w:val="singleLevel"/>
    <w:tmpl w:val="8FD501B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F6"/>
    <w:rsid w:val="000A78CD"/>
    <w:rsid w:val="00665F3D"/>
    <w:rsid w:val="00672CE9"/>
    <w:rsid w:val="00A10333"/>
    <w:rsid w:val="00BB09F6"/>
    <w:rsid w:val="00F36BC7"/>
    <w:rsid w:val="042012A8"/>
    <w:rsid w:val="04C71C31"/>
    <w:rsid w:val="08905B38"/>
    <w:rsid w:val="308D7709"/>
    <w:rsid w:val="57305F32"/>
    <w:rsid w:val="6339340E"/>
    <w:rsid w:val="6D4D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jc w:val="left"/>
    </w:pPr>
    <w:rPr>
      <w:szCs w:val="21"/>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452</Words>
  <Characters>2583</Characters>
  <Lines>21</Lines>
  <Paragraphs>6</Paragraphs>
  <TotalTime>2</TotalTime>
  <ScaleCrop>false</ScaleCrop>
  <LinksUpToDate>false</LinksUpToDate>
  <CharactersWithSpaces>3029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2020-12-17T05:37:00Z</dcterms:created>
  <dc:creator>张晓黎</dc:creator>
  <cp:lastModifiedBy>李俊明</cp:lastModifiedBy>
  <dcterms:modified xsi:type="dcterms:W3CDTF">2023-07-26T08:24:13Z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9932955AB7D04A62A007AB462B330738</vt:lpwstr>
  </property>
</Properties>
</file>