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九州证券</w:t>
      </w:r>
      <w:r>
        <w:rPr>
          <w:rFonts w:hint="eastAsia"/>
          <w:b/>
          <w:sz w:val="24"/>
          <w:lang w:eastAsia="zh-CN"/>
        </w:rPr>
        <w:t>股份有限</w:t>
      </w:r>
      <w:bookmarkStart w:id="0" w:name="_GoBack"/>
      <w:bookmarkEnd w:id="0"/>
      <w:r>
        <w:rPr>
          <w:rFonts w:hint="eastAsia"/>
          <w:b/>
          <w:sz w:val="24"/>
          <w:lang w:eastAsia="zh-CN"/>
        </w:rPr>
        <w:t>公司</w:t>
      </w:r>
      <w:r>
        <w:rPr>
          <w:rFonts w:hint="eastAsia"/>
          <w:b/>
          <w:sz w:val="24"/>
        </w:rPr>
        <w:t>收益凭证</w:t>
      </w:r>
      <w:r>
        <w:rPr>
          <w:rFonts w:hint="eastAsia"/>
          <w:b/>
          <w:sz w:val="24"/>
          <w:lang w:eastAsia="zh-CN"/>
        </w:rPr>
        <w:t>产品</w:t>
      </w:r>
      <w:r>
        <w:rPr>
          <w:rFonts w:hint="eastAsia"/>
          <w:b/>
          <w:sz w:val="24"/>
        </w:rPr>
        <w:t>评分表</w:t>
      </w:r>
    </w:p>
    <w:p>
      <w:pPr>
        <w:spacing w:line="276" w:lineRule="auto"/>
      </w:pPr>
    </w:p>
    <w:p>
      <w:pPr>
        <w:spacing w:line="276" w:lineRule="auto"/>
        <w:outlineLvl w:val="0"/>
        <w:rPr>
          <w:b/>
        </w:rPr>
      </w:pPr>
      <w:r>
        <w:rPr>
          <w:rFonts w:hint="eastAsia"/>
          <w:b/>
        </w:rPr>
        <w:t>一、产品简介</w:t>
      </w:r>
    </w:p>
    <w:p>
      <w:pPr>
        <w:spacing w:line="276" w:lineRule="auto"/>
        <w:ind w:firstLine="420" w:firstLineChars="200"/>
      </w:pPr>
      <w:r>
        <w:rPr>
          <w:rFonts w:hint="eastAsia"/>
        </w:rPr>
        <w:t>九州证券收益凭证为本金保障固定型收益凭证，金额【</w:t>
      </w:r>
      <w:r>
        <w:rPr>
          <w:rFonts w:hint="eastAsia"/>
          <w:lang w:val="en-US" w:eastAsia="zh-CN"/>
        </w:rPr>
        <w:t>**</w:t>
      </w:r>
      <w:r>
        <w:rPr>
          <w:rFonts w:hint="eastAsia"/>
        </w:rPr>
        <w:t>】千万元，期限【</w:t>
      </w:r>
      <w:r>
        <w:rPr>
          <w:rFonts w:hint="eastAsia"/>
          <w:lang w:val="en-US" w:eastAsia="zh-CN"/>
        </w:rPr>
        <w:t>**</w:t>
      </w:r>
      <w:r>
        <w:rPr>
          <w:rFonts w:hint="eastAsia"/>
        </w:rPr>
        <w:t>】天，固定利率为【</w:t>
      </w:r>
      <w:r>
        <w:rPr>
          <w:rFonts w:hint="eastAsia"/>
          <w:lang w:val="en-US" w:eastAsia="zh-CN"/>
        </w:rPr>
        <w:t>**</w:t>
      </w:r>
      <w:r>
        <w:rPr>
          <w:rFonts w:hint="eastAsia"/>
        </w:rPr>
        <w:t>%】，认购人为【个人或机构投资者】。本期收益凭证发行场所为中证机构间私募产品报价与服务系统。</w:t>
      </w:r>
    </w:p>
    <w:p>
      <w:pPr>
        <w:spacing w:line="276" w:lineRule="auto"/>
      </w:pPr>
    </w:p>
    <w:p>
      <w:pPr>
        <w:spacing w:line="276" w:lineRule="auto"/>
        <w:outlineLvl w:val="0"/>
        <w:rPr>
          <w:b/>
        </w:rPr>
      </w:pPr>
      <w:r>
        <w:rPr>
          <w:rFonts w:hint="eastAsia"/>
          <w:b/>
        </w:rPr>
        <w:t>二、综合评分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08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风险维度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</w:t>
            </w: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流动性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Theme="minorEastAsia"/>
                <w:b/>
                <w:lang w:val="en-US"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  <w:rPr>
                <w:b/>
              </w:rPr>
            </w:pPr>
            <w:r>
              <w:rPr>
                <w:rFonts w:hint="eastAsia"/>
              </w:rPr>
              <w:t>产品期限为【</w:t>
            </w:r>
            <w:r>
              <w:rPr>
                <w:rFonts w:hint="eastAsia"/>
                <w:lang w:val="en-US" w:eastAsia="zh-CN"/>
              </w:rPr>
              <w:t>**</w:t>
            </w:r>
            <w:r>
              <w:rPr>
                <w:rFonts w:hint="eastAsia"/>
              </w:rPr>
              <w:t>天】，产品到期后一次性还本付息，</w:t>
            </w:r>
            <w:r>
              <w:rPr>
                <w:rFonts w:hint="eastAsia"/>
                <w:lang w:eastAsia="zh-CN"/>
              </w:rPr>
              <w:t>不</w:t>
            </w:r>
            <w:r>
              <w:rPr>
                <w:rFonts w:hint="eastAsia"/>
              </w:rPr>
              <w:t>可持有转让，交易型二级市场待建立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到期时限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lang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产品期限为【</w:t>
            </w:r>
            <w:r>
              <w:rPr>
                <w:rFonts w:hint="eastAsia"/>
                <w:lang w:val="en-US" w:eastAsia="zh-CN"/>
              </w:rPr>
              <w:t>**</w:t>
            </w:r>
            <w:r>
              <w:rPr>
                <w:rFonts w:hint="eastAsia"/>
              </w:rPr>
              <w:t>天】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杠杆情况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lang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  <w:rPr>
                <w:b/>
              </w:rPr>
            </w:pPr>
            <w:r>
              <w:rPr>
                <w:rFonts w:hint="eastAsia"/>
              </w:rPr>
              <w:t>本期产品无杠杆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结构复杂性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lang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  <w:rPr>
                <w:b/>
              </w:rPr>
            </w:pPr>
            <w:r>
              <w:rPr>
                <w:rFonts w:hint="eastAsia"/>
              </w:rPr>
              <w:t>本期产品结构简单，无结构化设计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投资单位产品或者相关服务的最低金额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lang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本期发行额度为【</w:t>
            </w:r>
            <w:r>
              <w:rPr>
                <w:rFonts w:hint="eastAsia"/>
                <w:lang w:val="en-US" w:eastAsia="zh-CN"/>
              </w:rPr>
              <w:t>**</w:t>
            </w:r>
            <w:r>
              <w:rPr>
                <w:rFonts w:hint="eastAsia"/>
              </w:rPr>
              <w:t>】千万元，认购金额较小，单客户最低认购金额为50,000元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投资方向和投资范围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Theme="minorEastAsia"/>
                <w:b/>
                <w:lang w:val="en-US"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  <w:rPr>
                <w:b/>
              </w:rPr>
            </w:pPr>
            <w:r>
              <w:rPr>
                <w:rFonts w:hint="eastAsia"/>
              </w:rPr>
              <w:t>募集资金用于公司经营活动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募集方式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Theme="minorEastAsia"/>
                <w:b/>
                <w:lang w:val="en-US"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  <w:rPr>
                <w:b/>
              </w:rPr>
            </w:pPr>
            <w:r>
              <w:rPr>
                <w:rFonts w:hint="eastAsia"/>
              </w:rPr>
              <w:t>投资者通过OTC系统我司代理进行认购，资金来源为普通资金账户保证金，交易系统能保证认购资金及时划转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发行人等相关主体的信用状况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lang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  <w:rPr>
                <w:b/>
              </w:rPr>
            </w:pPr>
            <w:r>
              <w:rPr>
                <w:rFonts w:hint="eastAsia"/>
              </w:rPr>
              <w:t>发行人为九州证券股份有限公司，相关信用较好，公司近期无重大变动，且未发生违约事件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同类产品或者服务过往业绩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lang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公司已成功发行</w:t>
            </w:r>
            <w:r>
              <w:rPr>
                <w:rFonts w:hint="eastAsia"/>
                <w:lang w:val="en-US" w:eastAsia="zh-CN"/>
              </w:rPr>
              <w:t>**</w:t>
            </w:r>
            <w:r>
              <w:rPr>
                <w:rFonts w:hint="eastAsia"/>
              </w:rPr>
              <w:t>期固定收益类收益凭证产品，到期产品已按时足额兑付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其他因素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若发生其他未预期重大事件，可能影响收益凭证的兑付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</w:pPr>
          </w:p>
        </w:tc>
      </w:tr>
    </w:tbl>
    <w:p>
      <w:pPr>
        <w:spacing w:line="276" w:lineRule="auto"/>
      </w:pPr>
      <w:r>
        <w:rPr>
          <w:rFonts w:hint="eastAsia"/>
        </w:rPr>
        <w:t>注：评分越低代表风险越低，风险等级如下所示：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276" w:lineRule="auto"/>
            </w:pPr>
            <w:r>
              <w:t>低风险（R1） 60分以下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276" w:lineRule="auto"/>
            </w:pPr>
            <w:r>
              <w:t>中低风险（R2） 60-69分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276" w:lineRule="auto"/>
            </w:pPr>
            <w:r>
              <w:t>中风险（R3） 70-79分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276" w:lineRule="auto"/>
            </w:pPr>
            <w:r>
              <w:t>中高风险（R4） 80-89分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276" w:lineRule="auto"/>
            </w:pPr>
            <w:r>
              <w:t>高风险（R5） 90分以上</w:t>
            </w:r>
          </w:p>
        </w:tc>
      </w:tr>
    </w:tbl>
    <w:p>
      <w:pPr>
        <w:spacing w:line="276" w:lineRule="auto"/>
      </w:pPr>
    </w:p>
    <w:p>
      <w:pPr>
        <w:widowControl/>
        <w:jc w:val="left"/>
      </w:pPr>
      <w:r>
        <w:br w:type="page"/>
      </w:r>
    </w:p>
    <w:p>
      <w:pPr>
        <w:spacing w:line="276" w:lineRule="auto"/>
      </w:pPr>
      <w:r>
        <w:rPr>
          <w:rFonts w:hint="eastAsia"/>
        </w:rPr>
        <w:t>评分细则：</w:t>
      </w:r>
    </w:p>
    <w:tbl>
      <w:tblPr>
        <w:tblStyle w:val="5"/>
        <w:tblW w:w="92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639"/>
        <w:gridCol w:w="1589"/>
        <w:gridCol w:w="2400"/>
        <w:gridCol w:w="1284"/>
        <w:gridCol w:w="1236"/>
        <w:gridCol w:w="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风险维度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细分1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细分2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评分 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分项得分 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得分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流动性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产品期限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1-6M（含）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6-12M（含）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1-2Y（含）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2Y以上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是否可转让、二级市场活跃度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可转让持有，交易型二级市场待建立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到期时限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产品期限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1-6M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6-12M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1-2Y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2Y以上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杠杆情况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是否设计杠杆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无杠杆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结构复杂性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是否有结构化设计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无结构化设计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投资单位产品或者相关服务的最低金额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产品额度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1亿（含）以下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1-2亿（含）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3亿和以上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最低认购额度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500万（含）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投资方向和投资范围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公司经营活动近期风险情况，参考单位风险资本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募集方式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经报价系统注册发行（通过我司OTC系统代理交易）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认购人是报价系统参与人，认购经验丰富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认购人不是报价系统参与人，需通过我司OTC系统代理交易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发行人等相关主体的信用状况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发行人最新一期监管评级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评级上调或持平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评级下调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10%</w:t>
            </w:r>
          </w:p>
        </w:tc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发行人最近一年净利润情况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净利润为正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净利润为负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发行人最近一期次级债主体评级是否下调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评级上调或持平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下调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发行人近期发生不利的重大事项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同类产品或者服务过往业绩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已兑付、已发行收益凭证数量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均按时足额兑付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有未按时足额兑付的情况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其他因素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非预期内的重大事项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无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276" w:lineRule="auto"/>
      </w:pPr>
    </w:p>
    <w:p>
      <w:pPr>
        <w:spacing w:line="276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注：分项得分=评分*权重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得分为单项风险维度对应分项得分之和。</w:t>
      </w:r>
    </w:p>
    <w:sectPr>
      <w:pgSz w:w="11906" w:h="16838"/>
      <w:pgMar w:top="1134" w:right="1800" w:bottom="127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66E"/>
    <w:rsid w:val="00011433"/>
    <w:rsid w:val="00016D8D"/>
    <w:rsid w:val="00020039"/>
    <w:rsid w:val="000246D4"/>
    <w:rsid w:val="00032A3E"/>
    <w:rsid w:val="00035DD1"/>
    <w:rsid w:val="00042D57"/>
    <w:rsid w:val="00055FB2"/>
    <w:rsid w:val="00064665"/>
    <w:rsid w:val="00076EBE"/>
    <w:rsid w:val="00087DFC"/>
    <w:rsid w:val="000A0951"/>
    <w:rsid w:val="000A16C8"/>
    <w:rsid w:val="000B3DFB"/>
    <w:rsid w:val="000D54B4"/>
    <w:rsid w:val="000F7CF0"/>
    <w:rsid w:val="00124C8B"/>
    <w:rsid w:val="00133262"/>
    <w:rsid w:val="00134B60"/>
    <w:rsid w:val="00137605"/>
    <w:rsid w:val="00154B35"/>
    <w:rsid w:val="00164205"/>
    <w:rsid w:val="00181F38"/>
    <w:rsid w:val="00194A90"/>
    <w:rsid w:val="001A3FB6"/>
    <w:rsid w:val="001C2142"/>
    <w:rsid w:val="001C7540"/>
    <w:rsid w:val="001E3086"/>
    <w:rsid w:val="001E4C7B"/>
    <w:rsid w:val="001E51EE"/>
    <w:rsid w:val="00201E53"/>
    <w:rsid w:val="0020337F"/>
    <w:rsid w:val="002658AB"/>
    <w:rsid w:val="00267D93"/>
    <w:rsid w:val="00285FA3"/>
    <w:rsid w:val="002A3150"/>
    <w:rsid w:val="002B1212"/>
    <w:rsid w:val="002D4728"/>
    <w:rsid w:val="002E1347"/>
    <w:rsid w:val="00301148"/>
    <w:rsid w:val="003439DE"/>
    <w:rsid w:val="0037084F"/>
    <w:rsid w:val="003732FC"/>
    <w:rsid w:val="00373DAA"/>
    <w:rsid w:val="003A6185"/>
    <w:rsid w:val="003B1B9C"/>
    <w:rsid w:val="003D478D"/>
    <w:rsid w:val="003E4822"/>
    <w:rsid w:val="00422675"/>
    <w:rsid w:val="00435724"/>
    <w:rsid w:val="0044779E"/>
    <w:rsid w:val="00447F11"/>
    <w:rsid w:val="00451414"/>
    <w:rsid w:val="004538BF"/>
    <w:rsid w:val="00453993"/>
    <w:rsid w:val="004656B9"/>
    <w:rsid w:val="00471003"/>
    <w:rsid w:val="00484D91"/>
    <w:rsid w:val="00486F25"/>
    <w:rsid w:val="004912A1"/>
    <w:rsid w:val="0049791F"/>
    <w:rsid w:val="004A2F51"/>
    <w:rsid w:val="004C7B10"/>
    <w:rsid w:val="0050496E"/>
    <w:rsid w:val="00506586"/>
    <w:rsid w:val="00524ED5"/>
    <w:rsid w:val="005259AC"/>
    <w:rsid w:val="00543CC5"/>
    <w:rsid w:val="00551E6B"/>
    <w:rsid w:val="00553B4F"/>
    <w:rsid w:val="00554749"/>
    <w:rsid w:val="005A7218"/>
    <w:rsid w:val="005B2043"/>
    <w:rsid w:val="005C4441"/>
    <w:rsid w:val="005D2321"/>
    <w:rsid w:val="005E0F02"/>
    <w:rsid w:val="005E2C17"/>
    <w:rsid w:val="00607F0E"/>
    <w:rsid w:val="00616078"/>
    <w:rsid w:val="0062560B"/>
    <w:rsid w:val="00643848"/>
    <w:rsid w:val="00675978"/>
    <w:rsid w:val="006835AC"/>
    <w:rsid w:val="00692AAA"/>
    <w:rsid w:val="006A7880"/>
    <w:rsid w:val="006C1F1A"/>
    <w:rsid w:val="006C2155"/>
    <w:rsid w:val="006E6C44"/>
    <w:rsid w:val="006F69F7"/>
    <w:rsid w:val="00704A66"/>
    <w:rsid w:val="00712F37"/>
    <w:rsid w:val="00716884"/>
    <w:rsid w:val="00720247"/>
    <w:rsid w:val="007253A5"/>
    <w:rsid w:val="0072696F"/>
    <w:rsid w:val="007556A5"/>
    <w:rsid w:val="00785F54"/>
    <w:rsid w:val="00794C4E"/>
    <w:rsid w:val="007C79AC"/>
    <w:rsid w:val="007D2AFD"/>
    <w:rsid w:val="007E5E62"/>
    <w:rsid w:val="00817035"/>
    <w:rsid w:val="00821EDB"/>
    <w:rsid w:val="0083152C"/>
    <w:rsid w:val="008329C2"/>
    <w:rsid w:val="00840863"/>
    <w:rsid w:val="008442A0"/>
    <w:rsid w:val="008536ED"/>
    <w:rsid w:val="0086034A"/>
    <w:rsid w:val="0086504A"/>
    <w:rsid w:val="00871331"/>
    <w:rsid w:val="008733F6"/>
    <w:rsid w:val="00897962"/>
    <w:rsid w:val="008D0AA7"/>
    <w:rsid w:val="008E26C0"/>
    <w:rsid w:val="00916F4D"/>
    <w:rsid w:val="00920FF6"/>
    <w:rsid w:val="00943933"/>
    <w:rsid w:val="00944B8F"/>
    <w:rsid w:val="00980303"/>
    <w:rsid w:val="00990585"/>
    <w:rsid w:val="00997DD2"/>
    <w:rsid w:val="00997F7D"/>
    <w:rsid w:val="009A3A7A"/>
    <w:rsid w:val="009B38C1"/>
    <w:rsid w:val="009C0AE1"/>
    <w:rsid w:val="009C6463"/>
    <w:rsid w:val="009F1A48"/>
    <w:rsid w:val="00A002E5"/>
    <w:rsid w:val="00A131AC"/>
    <w:rsid w:val="00A26604"/>
    <w:rsid w:val="00A7154A"/>
    <w:rsid w:val="00A733A2"/>
    <w:rsid w:val="00A74E17"/>
    <w:rsid w:val="00A86CF4"/>
    <w:rsid w:val="00AA4A3A"/>
    <w:rsid w:val="00AB16F4"/>
    <w:rsid w:val="00AB27F4"/>
    <w:rsid w:val="00AB46CF"/>
    <w:rsid w:val="00AD381C"/>
    <w:rsid w:val="00AE72AB"/>
    <w:rsid w:val="00AF51A4"/>
    <w:rsid w:val="00B1193A"/>
    <w:rsid w:val="00B24935"/>
    <w:rsid w:val="00B25382"/>
    <w:rsid w:val="00B8558D"/>
    <w:rsid w:val="00BA62CE"/>
    <w:rsid w:val="00BA6C4F"/>
    <w:rsid w:val="00BE0E90"/>
    <w:rsid w:val="00BE20D0"/>
    <w:rsid w:val="00C00ECF"/>
    <w:rsid w:val="00C06160"/>
    <w:rsid w:val="00C411B0"/>
    <w:rsid w:val="00C85D54"/>
    <w:rsid w:val="00C8602F"/>
    <w:rsid w:val="00CA274C"/>
    <w:rsid w:val="00CB7B87"/>
    <w:rsid w:val="00CD08A9"/>
    <w:rsid w:val="00CE6505"/>
    <w:rsid w:val="00CF066E"/>
    <w:rsid w:val="00CF645B"/>
    <w:rsid w:val="00D2325B"/>
    <w:rsid w:val="00D676A0"/>
    <w:rsid w:val="00D71F13"/>
    <w:rsid w:val="00D87014"/>
    <w:rsid w:val="00D87F04"/>
    <w:rsid w:val="00D9375A"/>
    <w:rsid w:val="00DA02A1"/>
    <w:rsid w:val="00DD1E58"/>
    <w:rsid w:val="00DE1687"/>
    <w:rsid w:val="00DF0959"/>
    <w:rsid w:val="00E212C5"/>
    <w:rsid w:val="00E35EDC"/>
    <w:rsid w:val="00E51F75"/>
    <w:rsid w:val="00E62019"/>
    <w:rsid w:val="00E66D96"/>
    <w:rsid w:val="00E8095A"/>
    <w:rsid w:val="00E8302E"/>
    <w:rsid w:val="00E9706F"/>
    <w:rsid w:val="00ED6605"/>
    <w:rsid w:val="00F128F8"/>
    <w:rsid w:val="00F34C17"/>
    <w:rsid w:val="00F409BF"/>
    <w:rsid w:val="00F55E92"/>
    <w:rsid w:val="00F56518"/>
    <w:rsid w:val="00F92B29"/>
    <w:rsid w:val="00F93D79"/>
    <w:rsid w:val="00FA7B71"/>
    <w:rsid w:val="00FE1EDB"/>
    <w:rsid w:val="00FF55A2"/>
    <w:rsid w:val="01764CC2"/>
    <w:rsid w:val="01F957D1"/>
    <w:rsid w:val="0567329B"/>
    <w:rsid w:val="06A764A3"/>
    <w:rsid w:val="09E3796F"/>
    <w:rsid w:val="0A2C6D3C"/>
    <w:rsid w:val="0A6A5C44"/>
    <w:rsid w:val="10B565FE"/>
    <w:rsid w:val="10EC5887"/>
    <w:rsid w:val="15107020"/>
    <w:rsid w:val="15B859FE"/>
    <w:rsid w:val="15C55C06"/>
    <w:rsid w:val="181942F9"/>
    <w:rsid w:val="18256826"/>
    <w:rsid w:val="19142443"/>
    <w:rsid w:val="19436821"/>
    <w:rsid w:val="1F185AAD"/>
    <w:rsid w:val="24A06CD6"/>
    <w:rsid w:val="263306AC"/>
    <w:rsid w:val="26622625"/>
    <w:rsid w:val="270A54C4"/>
    <w:rsid w:val="28E24A23"/>
    <w:rsid w:val="29D75D4F"/>
    <w:rsid w:val="2B1C2A48"/>
    <w:rsid w:val="2B927AAE"/>
    <w:rsid w:val="2DD4282D"/>
    <w:rsid w:val="2DEC7C9B"/>
    <w:rsid w:val="32423F77"/>
    <w:rsid w:val="328628F8"/>
    <w:rsid w:val="32DC0A55"/>
    <w:rsid w:val="3C2217CF"/>
    <w:rsid w:val="41176E00"/>
    <w:rsid w:val="416C2A2B"/>
    <w:rsid w:val="45043AF4"/>
    <w:rsid w:val="47D227C9"/>
    <w:rsid w:val="499E1293"/>
    <w:rsid w:val="4B5B1BB6"/>
    <w:rsid w:val="4CA71E3A"/>
    <w:rsid w:val="4CFB4AAF"/>
    <w:rsid w:val="4EBB551D"/>
    <w:rsid w:val="4ED32527"/>
    <w:rsid w:val="4F80782A"/>
    <w:rsid w:val="50A279A5"/>
    <w:rsid w:val="51AD5BD5"/>
    <w:rsid w:val="53F659A4"/>
    <w:rsid w:val="548E794D"/>
    <w:rsid w:val="5E9542FC"/>
    <w:rsid w:val="5F487F72"/>
    <w:rsid w:val="5F4E7D8C"/>
    <w:rsid w:val="6550456A"/>
    <w:rsid w:val="655706E4"/>
    <w:rsid w:val="658E374E"/>
    <w:rsid w:val="66C02F9F"/>
    <w:rsid w:val="6B426686"/>
    <w:rsid w:val="6B7D30F0"/>
    <w:rsid w:val="6F92611E"/>
    <w:rsid w:val="70033D38"/>
    <w:rsid w:val="70FF405C"/>
    <w:rsid w:val="712A5C7A"/>
    <w:rsid w:val="7182796D"/>
    <w:rsid w:val="726D5B63"/>
    <w:rsid w:val="731A1DD8"/>
    <w:rsid w:val="73766D5C"/>
    <w:rsid w:val="77627D2C"/>
    <w:rsid w:val="780A3E2E"/>
    <w:rsid w:val="79902D58"/>
    <w:rsid w:val="7A2D02C0"/>
    <w:rsid w:val="7CC80837"/>
    <w:rsid w:val="7E99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List Accent 3"/>
    <w:basedOn w:val="5"/>
    <w:qFormat/>
    <w:uiPriority w:val="61"/>
    <w:rPr>
      <w:sz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386</Words>
  <Characters>2202</Characters>
  <Lines>18</Lines>
  <Paragraphs>5</Paragraphs>
  <TotalTime>17</TotalTime>
  <ScaleCrop>false</ScaleCrop>
  <LinksUpToDate>false</LinksUpToDate>
  <CharactersWithSpaces>2583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2017-10-23T08:59:00Z</dcterms:created>
  <dc:creator>李硕文</dc:creator>
  <cp:lastModifiedBy>尹禹璠</cp:lastModifiedBy>
  <dcterms:modified xsi:type="dcterms:W3CDTF">2021-10-25T08:23:23Z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259FB4DE629E48849FABAA48BF3E54BF</vt:lpwstr>
  </property>
</Properties>
</file>